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150"/>
        <w:gridCol w:w="713"/>
        <w:gridCol w:w="7872"/>
      </w:tblGrid>
      <w:tr w:rsidR="00CB442B" w:rsidRPr="0081292E" w:rsidTr="00AD5C05">
        <w:trPr>
          <w:trHeight w:val="2473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CB442B" w:rsidRPr="0081292E" w:rsidRDefault="008E2D70" w:rsidP="00957FEB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365F91"/>
                <w:sz w:val="18"/>
                <w:szCs w:val="18"/>
                <w:lang w:val="fr-FR" w:eastAsia="fr-FR" w:bidi="ar-SA"/>
              </w:rPr>
              <w:drawing>
                <wp:inline distT="0" distB="0" distL="0" distR="0">
                  <wp:extent cx="1200150" cy="1533525"/>
                  <wp:effectExtent l="19050" t="0" r="0" b="0"/>
                  <wp:docPr id="1" name="Image 1" descr="ID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CB442B" w:rsidRPr="005A2855" w:rsidRDefault="00CB442B" w:rsidP="00E51180">
            <w:pPr>
              <w:spacing w:after="0" w:line="240" w:lineRule="auto"/>
              <w:rPr>
                <w:rStyle w:val="longtext"/>
                <w:b/>
              </w:rPr>
            </w:pPr>
            <w:r w:rsidRPr="005A2855">
              <w:rPr>
                <w:rFonts w:ascii="Arial" w:hAnsi="Arial"/>
                <w:b/>
                <w:bCs/>
                <w:color w:val="7030A0"/>
              </w:rPr>
              <w:t>GENERAL</w:t>
            </w:r>
          </w:p>
          <w:p w:rsidR="00CB442B" w:rsidRDefault="00CB442B" w:rsidP="00E51180">
            <w:pPr>
              <w:spacing w:after="0" w:line="240" w:lineRule="auto"/>
              <w:rPr>
                <w:rStyle w:val="longtext"/>
                <w:b/>
              </w:rPr>
            </w:pPr>
          </w:p>
          <w:p w:rsidR="00CB442B" w:rsidRDefault="0006181A" w:rsidP="00B24A4A">
            <w:pPr>
              <w:spacing w:after="0" w:line="240" w:lineRule="auto"/>
              <w:jc w:val="both"/>
              <w:rPr>
                <w:rStyle w:val="longtext"/>
                <w:b/>
              </w:rPr>
            </w:pPr>
            <w:r>
              <w:rPr>
                <w:rStyle w:val="longtext"/>
                <w:b/>
              </w:rPr>
              <w:t>R</w:t>
            </w:r>
            <w:r w:rsidR="00CB442B" w:rsidRPr="005A2855">
              <w:rPr>
                <w:rStyle w:val="longtext"/>
                <w:b/>
              </w:rPr>
              <w:t xml:space="preserve">elevant experience in </w:t>
            </w:r>
            <w:r>
              <w:rPr>
                <w:rStyle w:val="longtext"/>
                <w:b/>
              </w:rPr>
              <w:t>logistics</w:t>
            </w:r>
            <w:r w:rsidR="004F3DA8">
              <w:rPr>
                <w:rStyle w:val="longtext"/>
                <w:b/>
              </w:rPr>
              <w:t xml:space="preserve">, </w:t>
            </w:r>
            <w:r w:rsidR="003E441A">
              <w:rPr>
                <w:rStyle w:val="longtext"/>
                <w:b/>
              </w:rPr>
              <w:t xml:space="preserve">fleet management, </w:t>
            </w:r>
            <w:r w:rsidR="00B24A4A">
              <w:rPr>
                <w:rStyle w:val="longtext"/>
                <w:b/>
              </w:rPr>
              <w:t>supply chain</w:t>
            </w:r>
            <w:r w:rsidR="003E441A">
              <w:rPr>
                <w:rStyle w:val="longtext"/>
                <w:b/>
              </w:rPr>
              <w:t xml:space="preserve"> management, import/export, transport and shipment, </w:t>
            </w:r>
            <w:r w:rsidR="004F3DA8">
              <w:rPr>
                <w:rStyle w:val="longtext"/>
                <w:b/>
              </w:rPr>
              <w:t>personnel recruitment and coaching</w:t>
            </w:r>
            <w:r w:rsidR="00C001AB">
              <w:rPr>
                <w:rStyle w:val="longtext"/>
                <w:b/>
              </w:rPr>
              <w:t>,</w:t>
            </w:r>
            <w:r>
              <w:rPr>
                <w:rStyle w:val="longtext"/>
                <w:b/>
              </w:rPr>
              <w:t xml:space="preserve"> </w:t>
            </w:r>
            <w:r w:rsidR="00CB442B" w:rsidRPr="00C001AB">
              <w:rPr>
                <w:rStyle w:val="longtext"/>
                <w:b/>
              </w:rPr>
              <w:t>QHSE</w:t>
            </w:r>
            <w:r w:rsidR="00CB442B">
              <w:rPr>
                <w:rStyle w:val="longtext"/>
                <w:b/>
              </w:rPr>
              <w:t xml:space="preserve"> commitment and improvements in resp</w:t>
            </w:r>
            <w:r w:rsidR="002908F3">
              <w:rPr>
                <w:rStyle w:val="longtext"/>
                <w:b/>
              </w:rPr>
              <w:t>onsible area.</w:t>
            </w:r>
          </w:p>
          <w:p w:rsidR="00E319C6" w:rsidRPr="00141158" w:rsidRDefault="00E319C6" w:rsidP="005C7EC6">
            <w:pPr>
              <w:spacing w:after="0" w:line="240" w:lineRule="auto"/>
              <w:jc w:val="both"/>
              <w:rPr>
                <w:b/>
              </w:rPr>
            </w:pPr>
            <w:r>
              <w:rPr>
                <w:rStyle w:val="longtext"/>
                <w:b/>
              </w:rPr>
              <w:t xml:space="preserve">Qualified Lead Auditor in </w:t>
            </w:r>
            <w:r w:rsidR="00832435">
              <w:rPr>
                <w:rStyle w:val="longtext"/>
                <w:b/>
              </w:rPr>
              <w:t>OHSAS</w:t>
            </w:r>
            <w:r>
              <w:rPr>
                <w:rStyle w:val="longtext"/>
                <w:b/>
              </w:rPr>
              <w:t xml:space="preserve"> 18001.</w:t>
            </w:r>
          </w:p>
        </w:tc>
      </w:tr>
      <w:tr w:rsidR="00CB442B" w:rsidRPr="0081292E" w:rsidTr="00AD5C05">
        <w:trPr>
          <w:trHeight w:val="97"/>
        </w:trPr>
        <w:tc>
          <w:tcPr>
            <w:tcW w:w="2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2503E6" w:rsidRPr="0043293E" w:rsidRDefault="002503E6" w:rsidP="002503E6">
            <w:pPr>
              <w:spacing w:after="0"/>
              <w:rPr>
                <w:rFonts w:ascii="Arial" w:hAnsi="Arial"/>
                <w:color w:val="365F91"/>
                <w:sz w:val="12"/>
                <w:szCs w:val="18"/>
              </w:rPr>
            </w:pPr>
          </w:p>
        </w:tc>
        <w:tc>
          <w:tcPr>
            <w:tcW w:w="85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CB442B" w:rsidRPr="0043293E" w:rsidRDefault="00CB442B" w:rsidP="00CB442B">
            <w:pPr>
              <w:spacing w:after="0"/>
              <w:rPr>
                <w:rFonts w:ascii="Arial" w:hAnsi="Arial"/>
                <w:b/>
                <w:bCs/>
                <w:sz w:val="12"/>
                <w:szCs w:val="18"/>
              </w:rPr>
            </w:pPr>
          </w:p>
        </w:tc>
      </w:tr>
      <w:tr w:rsidR="00E51180" w:rsidRPr="0081292E" w:rsidTr="00AD5C05">
        <w:trPr>
          <w:trHeight w:val="472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5C05" w:rsidRDefault="00AD5C05" w:rsidP="00E51180">
            <w:pPr>
              <w:spacing w:after="0"/>
              <w:rPr>
                <w:rFonts w:ascii="Arial" w:hAnsi="Arial"/>
                <w:b/>
                <w:bCs/>
                <w:smallCaps/>
                <w:color w:val="7030A0"/>
                <w:sz w:val="20"/>
                <w:szCs w:val="20"/>
                <w:u w:val="single"/>
              </w:rPr>
            </w:pPr>
          </w:p>
          <w:p w:rsidR="00E51180" w:rsidRPr="006D09C8" w:rsidRDefault="00E51180" w:rsidP="00E51180">
            <w:pPr>
              <w:spacing w:after="0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6D09C8">
              <w:rPr>
                <w:rFonts w:ascii="Arial" w:hAnsi="Arial"/>
                <w:b/>
                <w:bCs/>
                <w:smallCaps/>
                <w:color w:val="7030A0"/>
                <w:sz w:val="20"/>
                <w:szCs w:val="20"/>
                <w:u w:val="single"/>
              </w:rPr>
              <w:t>Personal Information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Name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Thameur HADIJI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Address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PO Box</w:t>
            </w: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 xml:space="preserve"> 35, Cite Bourguiba – Sidi Mansour Road km4 – 3094 – Sfax - TUNISIA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5C7EC6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Mobile /  WhatsApp: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06181A" w:rsidP="00B24A4A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+216 97 458 832    </w:t>
            </w:r>
          </w:p>
        </w:tc>
      </w:tr>
      <w:tr w:rsidR="0006181A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06181A" w:rsidRPr="0081292E" w:rsidRDefault="00795721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Skype ID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06181A" w:rsidRDefault="00795721" w:rsidP="00D93E28">
            <w:pPr>
              <w:spacing w:after="0"/>
            </w:pPr>
            <w:r w:rsidRPr="00795721">
              <w:rPr>
                <w:rFonts w:ascii="Arial" w:hAnsi="Arial"/>
                <w:b/>
                <w:bCs/>
                <w:sz w:val="18"/>
                <w:szCs w:val="18"/>
              </w:rPr>
              <w:t>thameurhadiji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E-mail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DB4316" w:rsidP="00D93E28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hyperlink r:id="rId9" w:history="1">
              <w:r w:rsidR="00D93E28" w:rsidRPr="00CC6DFF">
                <w:rPr>
                  <w:rStyle w:val="Lienhypertexte"/>
                  <w:rFonts w:ascii="Arial" w:hAnsi="Arial"/>
                  <w:b/>
                  <w:bCs/>
                  <w:sz w:val="18"/>
                  <w:szCs w:val="18"/>
                </w:rPr>
                <w:t>thameur.hadiji@gmail.com</w:t>
              </w:r>
            </w:hyperlink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Nationality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Tunisian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Marital Status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Married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Date of Birth</w:t>
            </w:r>
          </w:p>
        </w:tc>
        <w:tc>
          <w:tcPr>
            <w:tcW w:w="858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June 10</w:t>
            </w:r>
            <w:r w:rsidRPr="0081292E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, 1977</w:t>
            </w:r>
          </w:p>
        </w:tc>
      </w:tr>
      <w:tr w:rsidR="00CB442B" w:rsidRPr="0081292E" w:rsidTr="00AD5C05">
        <w:trPr>
          <w:trHeight w:val="288"/>
        </w:trPr>
        <w:tc>
          <w:tcPr>
            <w:tcW w:w="21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B442B" w:rsidRPr="0081292E" w:rsidRDefault="00CB442B" w:rsidP="002D65E2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Driving License</w:t>
            </w:r>
          </w:p>
        </w:tc>
        <w:tc>
          <w:tcPr>
            <w:tcW w:w="8585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B442B" w:rsidRPr="0081292E" w:rsidRDefault="00CB442B" w:rsidP="00CB442B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Clean driving license, C</w:t>
            </w:r>
            <w:r w:rsidR="00691E68">
              <w:rPr>
                <w:rFonts w:ascii="Arial" w:hAnsi="Arial"/>
                <w:b/>
                <w:bCs/>
                <w:sz w:val="18"/>
                <w:szCs w:val="18"/>
              </w:rPr>
              <w:t>lass: B</w:t>
            </w:r>
            <w:r w:rsidR="002119C2">
              <w:rPr>
                <w:rFonts w:ascii="Arial" w:hAnsi="Arial"/>
                <w:b/>
                <w:bCs/>
                <w:sz w:val="18"/>
                <w:szCs w:val="18"/>
              </w:rPr>
              <w:t xml:space="preserve">, </w:t>
            </w: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Obtained on September 1997</w:t>
            </w:r>
          </w:p>
        </w:tc>
      </w:tr>
      <w:tr w:rsidR="00CB442B" w:rsidRPr="0081292E" w:rsidTr="00AD5C05">
        <w:trPr>
          <w:trHeight w:val="155"/>
        </w:trPr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CB442B" w:rsidRPr="0043293E" w:rsidRDefault="00CB442B" w:rsidP="00CB442B">
            <w:pPr>
              <w:spacing w:after="0" w:line="240" w:lineRule="auto"/>
              <w:jc w:val="right"/>
              <w:rPr>
                <w:rFonts w:ascii="Arial" w:hAnsi="Arial"/>
                <w:color w:val="365F91"/>
                <w:sz w:val="12"/>
                <w:szCs w:val="18"/>
              </w:rPr>
            </w:pPr>
          </w:p>
        </w:tc>
        <w:tc>
          <w:tcPr>
            <w:tcW w:w="8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CB442B" w:rsidRPr="0043293E" w:rsidRDefault="00CB442B" w:rsidP="00CB442B">
            <w:pPr>
              <w:spacing w:after="0" w:line="240" w:lineRule="auto"/>
              <w:rPr>
                <w:rFonts w:ascii="Arial" w:hAnsi="Arial"/>
                <w:b/>
                <w:bCs/>
                <w:sz w:val="10"/>
                <w:szCs w:val="18"/>
              </w:rPr>
            </w:pPr>
          </w:p>
        </w:tc>
      </w:tr>
      <w:tr w:rsidR="00E51180" w:rsidRPr="0081292E" w:rsidTr="00AD5C05">
        <w:trPr>
          <w:trHeight w:val="431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E51180" w:rsidRPr="006D09C8" w:rsidRDefault="00E51180" w:rsidP="00CB442B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6D09C8">
              <w:rPr>
                <w:rFonts w:ascii="Arial" w:hAnsi="Arial"/>
                <w:b/>
                <w:bCs/>
                <w:smallCaps/>
                <w:color w:val="7030A0"/>
                <w:sz w:val="20"/>
                <w:szCs w:val="20"/>
                <w:u w:val="single"/>
              </w:rPr>
              <w:t>Work Experience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Period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B24A4A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• From </w:t>
            </w:r>
            <w:r w:rsidR="00B24A4A">
              <w:rPr>
                <w:rFonts w:ascii="Arial" w:hAnsi="Arial"/>
                <w:sz w:val="18"/>
                <w:szCs w:val="18"/>
              </w:rPr>
              <w:t>10</w:t>
            </w:r>
            <w:r w:rsidR="00B24A4A" w:rsidRPr="00B24A4A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="00B24A4A">
              <w:rPr>
                <w:rFonts w:ascii="Arial" w:hAnsi="Arial"/>
                <w:sz w:val="18"/>
                <w:szCs w:val="18"/>
              </w:rPr>
              <w:t xml:space="preserve"> July 2018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31562C">
              <w:rPr>
                <w:rFonts w:ascii="Arial" w:hAnsi="Arial"/>
                <w:sz w:val="18"/>
                <w:szCs w:val="18"/>
              </w:rPr>
              <w:t xml:space="preserve"> to </w:t>
            </w:r>
            <w:r w:rsidR="00B24A4A">
              <w:rPr>
                <w:rFonts w:ascii="Arial" w:hAnsi="Arial"/>
                <w:sz w:val="18"/>
                <w:szCs w:val="18"/>
              </w:rPr>
              <w:t>present date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8534D" w:rsidRDefault="00B24A4A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SAROST – Oil and Gas offshore drilling</w:t>
            </w:r>
            <w:r w:rsidR="008C59EC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384952" w:rsidP="00384952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Supply Base Manager</w:t>
            </w:r>
          </w:p>
        </w:tc>
      </w:tr>
      <w:tr w:rsidR="008C59EC" w:rsidRPr="0081292E" w:rsidTr="004978CF">
        <w:trPr>
          <w:trHeight w:val="145"/>
        </w:trPr>
        <w:tc>
          <w:tcPr>
            <w:tcW w:w="10735" w:type="dxa"/>
            <w:gridSpan w:val="3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Default="008C59EC" w:rsidP="00B24A4A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Attend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 xml:space="preserve"> </w:t>
            </w:r>
            <w:r w:rsidR="00B24A4A">
              <w:rPr>
                <w:rStyle w:val="longtext"/>
                <w:sz w:val="18"/>
                <w:szCs w:val="18"/>
                <w:lang w:val="en-US"/>
              </w:rPr>
              <w:t xml:space="preserve">the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 xml:space="preserve">daily </w:t>
            </w:r>
            <w:r>
              <w:rPr>
                <w:rStyle w:val="longtext"/>
                <w:sz w:val="18"/>
                <w:szCs w:val="18"/>
                <w:lang w:val="en-US"/>
              </w:rPr>
              <w:t>c</w:t>
            </w:r>
            <w:r w:rsidR="00B24A4A">
              <w:rPr>
                <w:rStyle w:val="longtext"/>
                <w:sz w:val="18"/>
                <w:szCs w:val="18"/>
                <w:lang w:val="en-US"/>
              </w:rPr>
              <w:t>onference call with the RIG and shore project team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 xml:space="preserve"> to </w:t>
            </w:r>
            <w:r>
              <w:rPr>
                <w:rStyle w:val="longtext"/>
                <w:sz w:val="18"/>
                <w:szCs w:val="18"/>
                <w:lang w:val="en-US"/>
              </w:rPr>
              <w:t>have an update on ongoing operations</w:t>
            </w:r>
            <w:r w:rsidR="00B24A4A">
              <w:rPr>
                <w:rStyle w:val="longtext"/>
                <w:sz w:val="18"/>
                <w:szCs w:val="18"/>
                <w:lang w:val="en-US"/>
              </w:rPr>
              <w:t xml:space="preserve"> and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supply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vessel</w:t>
            </w:r>
            <w:r>
              <w:rPr>
                <w:rStyle w:val="longtext"/>
                <w:sz w:val="18"/>
                <w:szCs w:val="18"/>
                <w:lang w:val="en-US"/>
              </w:rPr>
              <w:t>s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longtext"/>
                <w:sz w:val="18"/>
                <w:szCs w:val="18"/>
                <w:lang w:val="en-US"/>
              </w:rPr>
              <w:t>movements forecast.</w:t>
            </w:r>
          </w:p>
          <w:p w:rsidR="008C59EC" w:rsidRPr="002D6C42" w:rsidRDefault="00B24A4A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Update logistics look-</w:t>
            </w:r>
            <w:r w:rsidR="008C59EC">
              <w:rPr>
                <w:rStyle w:val="longtext"/>
                <w:sz w:val="18"/>
                <w:szCs w:val="18"/>
                <w:lang w:val="en-US"/>
              </w:rPr>
              <w:t>ahead accordingly before distribution to all concerned part</w:t>
            </w:r>
            <w:r w:rsidR="005C7EC6">
              <w:rPr>
                <w:rStyle w:val="longtext"/>
                <w:sz w:val="18"/>
                <w:szCs w:val="18"/>
                <w:lang w:val="en-US"/>
              </w:rPr>
              <w:t xml:space="preserve">ies within the drilling project, </w:t>
            </w:r>
            <w:r w:rsidR="005C7EC6" w:rsidRPr="002D6C42">
              <w:rPr>
                <w:rStyle w:val="longtext"/>
                <w:sz w:val="18"/>
                <w:szCs w:val="18"/>
                <w:lang w:val="en-US"/>
              </w:rPr>
              <w:t>to ensure the vessel port calls are in line with materials requirement in order to optimize vessel</w:t>
            </w:r>
            <w:r w:rsidR="005C7EC6">
              <w:rPr>
                <w:rStyle w:val="longtext"/>
                <w:sz w:val="18"/>
                <w:szCs w:val="18"/>
                <w:lang w:val="en-US"/>
              </w:rPr>
              <w:t>s</w:t>
            </w:r>
            <w:r w:rsidR="005C7EC6" w:rsidRPr="002D6C42">
              <w:rPr>
                <w:rStyle w:val="longtext"/>
                <w:sz w:val="18"/>
                <w:szCs w:val="18"/>
                <w:lang w:val="en-US"/>
              </w:rPr>
              <w:t xml:space="preserve"> </w:t>
            </w:r>
            <w:r w:rsidR="005C7EC6">
              <w:rPr>
                <w:rStyle w:val="longtext"/>
                <w:sz w:val="18"/>
                <w:szCs w:val="18"/>
                <w:lang w:val="en-US"/>
              </w:rPr>
              <w:t>trips</w:t>
            </w:r>
            <w:r w:rsidR="005C7EC6" w:rsidRPr="002D6C42">
              <w:rPr>
                <w:rStyle w:val="longtext"/>
                <w:sz w:val="18"/>
                <w:szCs w:val="18"/>
                <w:lang w:val="en-US"/>
              </w:rPr>
              <w:t xml:space="preserve"> and reduce </w:t>
            </w:r>
            <w:r w:rsidR="005C7EC6">
              <w:rPr>
                <w:rStyle w:val="longtext"/>
                <w:sz w:val="18"/>
                <w:szCs w:val="18"/>
                <w:lang w:val="en-US"/>
              </w:rPr>
              <w:t>fuel consumption</w:t>
            </w:r>
            <w:r w:rsidR="005C7EC6" w:rsidRPr="002D6C42">
              <w:rPr>
                <w:rStyle w:val="longtext"/>
                <w:sz w:val="18"/>
                <w:szCs w:val="18"/>
                <w:lang w:val="en-US"/>
              </w:rPr>
              <w:t>.</w:t>
            </w:r>
          </w:p>
          <w:p w:rsidR="008C59EC" w:rsidRPr="002D6C42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Collaborate with local authorities on matters related to cargo customs clearance and port access formalities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.</w:t>
            </w:r>
          </w:p>
          <w:p w:rsidR="008C59EC" w:rsidRDefault="008C59EC" w:rsidP="00BE7595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250E3D">
              <w:rPr>
                <w:rStyle w:val="longtext"/>
                <w:sz w:val="18"/>
                <w:szCs w:val="18"/>
                <w:lang w:val="en-US"/>
              </w:rPr>
              <w:t>-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C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oordinate with service companies and vessel masters on vessel loading and unloading plan.</w:t>
            </w:r>
          </w:p>
          <w:p w:rsidR="005C7EC6" w:rsidRDefault="008C59EC" w:rsidP="00BE7595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 xml:space="preserve">- </w:t>
            </w:r>
            <w:r w:rsidR="005C7EC6">
              <w:rPr>
                <w:rStyle w:val="longtext"/>
                <w:sz w:val="18"/>
                <w:szCs w:val="18"/>
                <w:lang w:val="en-US"/>
              </w:rPr>
              <w:t>Follow-up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vessels and RIG fuel consumption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.</w:t>
            </w:r>
          </w:p>
          <w:p w:rsidR="008C59EC" w:rsidRDefault="008C59EC" w:rsidP="00BE7595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 xml:space="preserve">-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Review,</w:t>
            </w:r>
            <w:r w:rsidR="007B3874">
              <w:rPr>
                <w:rStyle w:val="longtext"/>
                <w:sz w:val="18"/>
                <w:szCs w:val="18"/>
                <w:lang w:val="en-US"/>
              </w:rPr>
              <w:t xml:space="preserve"> screen and approve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all documents pertaining to facility mainte</w:t>
            </w:r>
            <w:r w:rsidR="00BE7595">
              <w:rPr>
                <w:rStyle w:val="longtext"/>
                <w:sz w:val="18"/>
                <w:szCs w:val="18"/>
                <w:lang w:val="en-US"/>
              </w:rPr>
              <w:t xml:space="preserve">nance, dock,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 xml:space="preserve">transportation, </w:t>
            </w:r>
            <w:r w:rsidR="00BE7595">
              <w:rPr>
                <w:rStyle w:val="longtext"/>
                <w:sz w:val="18"/>
                <w:szCs w:val="18"/>
                <w:lang w:val="en-US"/>
              </w:rPr>
              <w:t xml:space="preserve">port handling </w:t>
            </w:r>
            <w:r w:rsidRPr="002D6C42">
              <w:rPr>
                <w:rStyle w:val="longtext"/>
                <w:sz w:val="18"/>
                <w:szCs w:val="18"/>
                <w:lang w:val="en-US"/>
              </w:rPr>
              <w:t>including security service order, materials requisitions, time sheet, contract requisit</w:t>
            </w:r>
            <w:r>
              <w:rPr>
                <w:rStyle w:val="longtext"/>
                <w:sz w:val="18"/>
                <w:szCs w:val="18"/>
                <w:lang w:val="en-US"/>
              </w:rPr>
              <w:t>ion, invoices etc…</w:t>
            </w:r>
          </w:p>
          <w:p w:rsidR="008C59EC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F956F3">
              <w:rPr>
                <w:rStyle w:val="longtext"/>
                <w:sz w:val="18"/>
                <w:szCs w:val="18"/>
                <w:lang w:val="en-US"/>
              </w:rPr>
              <w:t>-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Prepare and distribute </w:t>
            </w:r>
            <w:r w:rsidR="00BB5D4B">
              <w:rPr>
                <w:rStyle w:val="longtext"/>
                <w:sz w:val="18"/>
                <w:szCs w:val="18"/>
                <w:lang w:val="en-US"/>
              </w:rPr>
              <w:t xml:space="preserve">Cargo 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shipping manifests </w:t>
            </w:r>
            <w:r w:rsidR="00BB5D4B">
              <w:rPr>
                <w:rStyle w:val="longtext"/>
                <w:sz w:val="18"/>
                <w:szCs w:val="18"/>
                <w:lang w:val="en-US"/>
              </w:rPr>
              <w:t xml:space="preserve">and passengers manifests </w:t>
            </w:r>
            <w:r>
              <w:rPr>
                <w:rStyle w:val="longtext"/>
                <w:sz w:val="18"/>
                <w:szCs w:val="18"/>
                <w:lang w:val="en-US"/>
              </w:rPr>
              <w:t>to all conce</w:t>
            </w:r>
            <w:r w:rsidR="00BB5D4B">
              <w:rPr>
                <w:rStyle w:val="longtext"/>
                <w:sz w:val="18"/>
                <w:szCs w:val="18"/>
                <w:lang w:val="en-US"/>
              </w:rPr>
              <w:t>rned parties within the project with each vessel departure.</w:t>
            </w:r>
          </w:p>
          <w:p w:rsidR="00B24A4A" w:rsidRPr="00B24A4A" w:rsidRDefault="008C59EC" w:rsidP="00BB5D4B">
            <w:pPr>
              <w:pStyle w:val="Default"/>
              <w:jc w:val="both"/>
              <w:rPr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Report to the project manager on the daily activity of the supply base</w:t>
            </w:r>
            <w:r w:rsidR="00BE7595">
              <w:rPr>
                <w:rStyle w:val="longtext"/>
                <w:sz w:val="18"/>
                <w:szCs w:val="18"/>
                <w:lang w:val="en-US"/>
              </w:rPr>
              <w:t>.</w:t>
            </w:r>
            <w:r w:rsidR="00B24A4A">
              <w:rPr>
                <w:rStyle w:val="longtext"/>
                <w:lang w:val="en-US"/>
              </w:rPr>
              <w:t xml:space="preserve"> 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Period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• From </w:t>
            </w:r>
            <w:r>
              <w:rPr>
                <w:rFonts w:ascii="Arial" w:hAnsi="Arial"/>
                <w:sz w:val="18"/>
                <w:szCs w:val="18"/>
              </w:rPr>
              <w:t>20</w:t>
            </w:r>
            <w:r w:rsidRPr="00845BD4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May 2017 </w:t>
            </w:r>
            <w:r w:rsidRPr="0031562C">
              <w:rPr>
                <w:rFonts w:ascii="Arial" w:hAnsi="Arial"/>
                <w:sz w:val="18"/>
                <w:szCs w:val="18"/>
              </w:rPr>
              <w:t xml:space="preserve"> to </w:t>
            </w:r>
            <w:r>
              <w:rPr>
                <w:rFonts w:ascii="Arial" w:hAnsi="Arial"/>
                <w:sz w:val="18"/>
                <w:szCs w:val="18"/>
              </w:rPr>
              <w:t xml:space="preserve">13 </w:t>
            </w:r>
            <w:r w:rsidR="00BB5D4B">
              <w:rPr>
                <w:rFonts w:ascii="Arial" w:hAnsi="Arial"/>
                <w:sz w:val="18"/>
                <w:szCs w:val="18"/>
              </w:rPr>
              <w:t>October</w:t>
            </w:r>
            <w:r>
              <w:rPr>
                <w:rFonts w:ascii="Arial" w:hAnsi="Arial"/>
                <w:sz w:val="18"/>
                <w:szCs w:val="18"/>
              </w:rPr>
              <w:t xml:space="preserve"> 2017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8534D" w:rsidRDefault="008C59EC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MAURILOG - DB SCHENKER Mauritania 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2914BD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Fleet</w:t>
            </w:r>
            <w:r w:rsidR="008C59EC">
              <w:rPr>
                <w:rFonts w:ascii="Arial" w:hAnsi="Arial"/>
                <w:b/>
                <w:bCs/>
                <w:sz w:val="18"/>
                <w:szCs w:val="18"/>
              </w:rPr>
              <w:t xml:space="preserve"> Manager</w:t>
            </w:r>
          </w:p>
        </w:tc>
      </w:tr>
      <w:tr w:rsidR="008C59EC" w:rsidRPr="0081292E" w:rsidTr="00FE61A8">
        <w:trPr>
          <w:trHeight w:val="145"/>
        </w:trPr>
        <w:tc>
          <w:tcPr>
            <w:tcW w:w="10735" w:type="dxa"/>
            <w:gridSpan w:val="3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D4512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>- Optimize the profitability of transportation and handling activities while ensuring a high level of customer service (Clemessy, Schlumberger, Weatherford, Frank's</w:t>
            </w:r>
            <w:r w:rsidR="00C8503D">
              <w:rPr>
                <w:rStyle w:val="longtext"/>
                <w:sz w:val="18"/>
                <w:szCs w:val="18"/>
                <w:lang w:val="en-US"/>
              </w:rPr>
              <w:t>, TOTAL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and KOSMOS Energy).</w:t>
            </w:r>
          </w:p>
          <w:p w:rsidR="008C59E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- </w:t>
            </w:r>
            <w:r w:rsidR="00330220">
              <w:rPr>
                <w:rStyle w:val="longtext"/>
                <w:sz w:val="18"/>
                <w:szCs w:val="18"/>
                <w:lang w:val="en-US"/>
              </w:rPr>
              <w:t>M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anage </w:t>
            </w:r>
            <w:r w:rsidR="00330220">
              <w:rPr>
                <w:rStyle w:val="longtext"/>
                <w:sz w:val="18"/>
                <w:szCs w:val="18"/>
                <w:lang w:val="en-US"/>
              </w:rPr>
              <w:t>fleet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preventive and </w:t>
            </w:r>
            <w:r>
              <w:rPr>
                <w:rStyle w:val="longtext"/>
                <w:sz w:val="18"/>
                <w:szCs w:val="18"/>
                <w:lang w:val="en-US"/>
              </w:rPr>
              <w:t>periodic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maintenance.</w:t>
            </w:r>
          </w:p>
          <w:p w:rsidR="00C8503D" w:rsidRDefault="00C8503D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Manage fuel distribution fleet composed of 22 tankers</w:t>
            </w:r>
            <w:r w:rsidR="00957FEB">
              <w:rPr>
                <w:rStyle w:val="longtext"/>
                <w:sz w:val="18"/>
                <w:szCs w:val="18"/>
                <w:lang w:val="en-US"/>
              </w:rPr>
              <w:t xml:space="preserve"> dedicated to Total distribution contract.</w:t>
            </w:r>
          </w:p>
          <w:p w:rsidR="00C8503D" w:rsidRPr="00D4512C" w:rsidRDefault="00C8503D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- Organize weekly fuel deliveries trips as per TOTAL</w:t>
            </w:r>
            <w:r w:rsidR="00957FEB">
              <w:rPr>
                <w:rStyle w:val="longtext"/>
                <w:sz w:val="18"/>
                <w:szCs w:val="18"/>
                <w:lang w:val="en-US"/>
              </w:rPr>
              <w:t xml:space="preserve"> communicated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plan, validate Journey management plan for each truck</w:t>
            </w:r>
            <w:r w:rsidR="00957FEB">
              <w:rPr>
                <w:rStyle w:val="longtext"/>
                <w:sz w:val="18"/>
                <w:szCs w:val="18"/>
                <w:lang w:val="en-US"/>
              </w:rPr>
              <w:t xml:space="preserve"> and ensure the entire application of TOTAL </w:t>
            </w:r>
            <w:r>
              <w:rPr>
                <w:rStyle w:val="longtext"/>
                <w:sz w:val="18"/>
                <w:szCs w:val="18"/>
                <w:lang w:val="en-US"/>
              </w:rPr>
              <w:t>fuel delivery procedure</w:t>
            </w:r>
            <w:r w:rsidR="00957FEB">
              <w:rPr>
                <w:rStyle w:val="longtext"/>
                <w:sz w:val="18"/>
                <w:szCs w:val="18"/>
                <w:lang w:val="en-US"/>
              </w:rPr>
              <w:t>.</w:t>
            </w:r>
          </w:p>
          <w:p w:rsidR="008C59EC" w:rsidRPr="00D4512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>- Ensure the traceability of all movements of the fleet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and manage fuel consumption.</w:t>
            </w:r>
          </w:p>
          <w:p w:rsidR="008C59EC" w:rsidRPr="00D4512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>- Validate the distribution of personnel operating the fleet, and new recruits when needed.</w:t>
            </w:r>
          </w:p>
          <w:p w:rsidR="008C59EC" w:rsidRPr="00D4512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-Organize the maintenance activity of the 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mobile fleet 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>in close collaboration with the maintenance team.</w:t>
            </w:r>
          </w:p>
          <w:p w:rsidR="008C59EC" w:rsidRPr="00D4512C" w:rsidRDefault="008C59EC" w:rsidP="008C59EC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>- Daily report</w:t>
            </w:r>
            <w:r>
              <w:rPr>
                <w:rStyle w:val="longtext"/>
                <w:sz w:val="18"/>
                <w:szCs w:val="18"/>
                <w:lang w:val="en-US"/>
              </w:rPr>
              <w:t>ing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to the operations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manager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on the </w:t>
            </w:r>
            <w:r>
              <w:rPr>
                <w:rStyle w:val="longtext"/>
                <w:sz w:val="18"/>
                <w:szCs w:val="18"/>
                <w:lang w:val="en-US"/>
              </w:rPr>
              <w:t>usage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 of equipment and personnel.</w:t>
            </w:r>
          </w:p>
          <w:p w:rsidR="008C59EC" w:rsidRDefault="008C59EC" w:rsidP="007B3874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D4512C">
              <w:rPr>
                <w:rStyle w:val="longtext"/>
                <w:sz w:val="18"/>
                <w:szCs w:val="18"/>
                <w:lang w:val="en-US"/>
              </w:rPr>
              <w:t xml:space="preserve">- Approve the purchase request related to </w:t>
            </w:r>
            <w:r>
              <w:rPr>
                <w:rStyle w:val="longtext"/>
                <w:sz w:val="18"/>
                <w:szCs w:val="18"/>
                <w:lang w:val="en-US"/>
              </w:rPr>
              <w:t>fleet spare parts and consumables</w:t>
            </w:r>
            <w:r w:rsidRPr="00D4512C">
              <w:rPr>
                <w:rStyle w:val="longtext"/>
                <w:sz w:val="18"/>
                <w:szCs w:val="18"/>
                <w:lang w:val="en-US"/>
              </w:rPr>
              <w:t>.</w:t>
            </w:r>
          </w:p>
          <w:p w:rsidR="00AF030F" w:rsidRPr="0074698B" w:rsidRDefault="00AF030F" w:rsidP="00AF030F">
            <w:pPr>
              <w:pStyle w:val="Default"/>
              <w:jc w:val="both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lastRenderedPageBreak/>
              <w:t>- Reorganize fleet process and improve process KPI’s.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Period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• From 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 w:rsidRPr="008B7964">
              <w:rPr>
                <w:rFonts w:ascii="Arial" w:hAnsi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/>
                <w:sz w:val="18"/>
                <w:szCs w:val="18"/>
              </w:rPr>
              <w:t xml:space="preserve">march 2015 </w:t>
            </w:r>
            <w:r w:rsidRPr="0031562C">
              <w:rPr>
                <w:rFonts w:ascii="Arial" w:hAnsi="Arial"/>
                <w:sz w:val="18"/>
                <w:szCs w:val="18"/>
              </w:rPr>
              <w:t xml:space="preserve"> to </w:t>
            </w:r>
            <w:r>
              <w:rPr>
                <w:rFonts w:ascii="Arial" w:hAnsi="Arial"/>
                <w:sz w:val="18"/>
                <w:szCs w:val="18"/>
              </w:rPr>
              <w:t>25</w:t>
            </w:r>
            <w:r w:rsidRPr="00112D7F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/>
                <w:sz w:val="18"/>
                <w:szCs w:val="18"/>
              </w:rPr>
              <w:t xml:space="preserve"> April 2017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8534D" w:rsidRDefault="008C59EC" w:rsidP="00AF030F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SMRI AMAL – </w:t>
            </w:r>
            <w:r w:rsidR="00AF030F">
              <w:rPr>
                <w:rFonts w:ascii="Arial" w:hAnsi="Arial"/>
                <w:b/>
                <w:bCs/>
                <w:sz w:val="18"/>
                <w:szCs w:val="18"/>
              </w:rPr>
              <w:t>Oil and Gas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waste management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Operations Manager</w:t>
            </w:r>
          </w:p>
        </w:tc>
      </w:tr>
      <w:tr w:rsidR="008C59EC" w:rsidRPr="0081292E" w:rsidTr="00AD5C05">
        <w:trPr>
          <w:trHeight w:val="145"/>
        </w:trPr>
        <w:tc>
          <w:tcPr>
            <w:tcW w:w="10735" w:type="dxa"/>
            <w:gridSpan w:val="3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Main activities and responsibilities :</w:t>
            </w:r>
          </w:p>
          <w:p w:rsidR="008C59EC" w:rsidRPr="0081292E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 xml:space="preserve">- Plan of resources (personnel and equipment) </w:t>
            </w:r>
            <w:r>
              <w:rPr>
                <w:rStyle w:val="longtext"/>
                <w:sz w:val="18"/>
                <w:szCs w:val="18"/>
                <w:lang w:val="en-US"/>
              </w:rPr>
              <w:t>and i</w:t>
            </w:r>
            <w:r w:rsidRPr="0074698B">
              <w:rPr>
                <w:rStyle w:val="longtext"/>
                <w:sz w:val="18"/>
                <w:szCs w:val="18"/>
                <w:lang w:val="en-US"/>
              </w:rPr>
              <w:t>nterface with the department’s supervisors to establish workflow including projects startup dates, operating period, and cash flow management before each project.</w:t>
            </w:r>
          </w:p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Support operations and business development of rental solids control and waste treatment equipment and service personnel.</w:t>
            </w:r>
          </w:p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 xml:space="preserve">- Implement and follow proper daily reporting system from rig sites for drilling waste management. </w:t>
            </w:r>
          </w:p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Plan, organize and follow supply boats tanks cleaning operations.</w:t>
            </w:r>
          </w:p>
          <w:p w:rsidR="008C59EC" w:rsidRPr="0074698B" w:rsidRDefault="008C59EC" w:rsidP="00BB5D4B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Ensure effective application of solids control and waste management procedures for online and offline treatment operations.</w:t>
            </w:r>
            <w:r w:rsidRPr="0074698B">
              <w:rPr>
                <w:rStyle w:val="longtext"/>
                <w:sz w:val="18"/>
                <w:szCs w:val="18"/>
                <w:lang w:val="en-US"/>
              </w:rPr>
              <w:br/>
              <w:t>- Travel as and when required ensuring quality of service, audit equipment maintenance, and customer satisfaction; along with leading critical installations, surveys and projects.</w:t>
            </w:r>
          </w:p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Ensure proper quality, training, &amp; level of service of field engineers.  Evaluation of field engineers.  Recruitment of new engineers.</w:t>
            </w:r>
          </w:p>
          <w:p w:rsidR="008C59EC" w:rsidRPr="0074698B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Manage general waste management contracts execution (Segregation, collection, transport and final disposal) for production facilities (CPF).</w:t>
            </w:r>
          </w:p>
          <w:p w:rsidR="008C59EC" w:rsidRPr="00477D43" w:rsidRDefault="008C59EC" w:rsidP="008C59EC">
            <w:pPr>
              <w:pStyle w:val="Default"/>
              <w:spacing w:line="276" w:lineRule="auto"/>
              <w:jc w:val="both"/>
              <w:rPr>
                <w:sz w:val="18"/>
                <w:szCs w:val="18"/>
                <w:lang w:val="en-US"/>
              </w:rPr>
            </w:pPr>
            <w:r w:rsidRPr="0074698B">
              <w:rPr>
                <w:rStyle w:val="longtext"/>
                <w:sz w:val="18"/>
                <w:szCs w:val="18"/>
                <w:lang w:val="en-US"/>
              </w:rPr>
              <w:t>- Support the HSSE team members in all matters related to the integrated management system improvements.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Period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• From 09 November 2006 to </w:t>
            </w:r>
            <w:r>
              <w:rPr>
                <w:rFonts w:ascii="Arial" w:hAnsi="Arial"/>
                <w:sz w:val="18"/>
                <w:szCs w:val="18"/>
              </w:rPr>
              <w:t>20 February 2015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8534D" w:rsidRDefault="008C59EC" w:rsidP="00AF030F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534D">
              <w:rPr>
                <w:rFonts w:ascii="Arial" w:hAnsi="Arial"/>
                <w:b/>
                <w:bCs/>
                <w:sz w:val="18"/>
                <w:szCs w:val="18"/>
              </w:rPr>
              <w:t xml:space="preserve">National Oilwell Varco – </w:t>
            </w:r>
            <w:r w:rsidR="00AF030F">
              <w:rPr>
                <w:rFonts w:ascii="Arial" w:hAnsi="Arial"/>
                <w:b/>
                <w:bCs/>
                <w:sz w:val="18"/>
                <w:szCs w:val="18"/>
              </w:rPr>
              <w:t>Wellsite services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Logistics and operations Supervisor – Solids control and waste management</w:t>
            </w:r>
          </w:p>
        </w:tc>
      </w:tr>
      <w:tr w:rsidR="008C59EC" w:rsidRPr="0081292E" w:rsidTr="00AD5C05">
        <w:trPr>
          <w:trHeight w:val="145"/>
        </w:trPr>
        <w:tc>
          <w:tcPr>
            <w:tcW w:w="10735" w:type="dxa"/>
            <w:gridSpan w:val="3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9900F5" w:rsidRDefault="008C59EC" w:rsidP="008C59EC">
            <w:pPr>
              <w:pStyle w:val="Default"/>
              <w:jc w:val="both"/>
              <w:rPr>
                <w:rFonts w:eastAsia="Calibri"/>
                <w:color w:val="auto"/>
                <w:sz w:val="18"/>
                <w:szCs w:val="18"/>
                <w:lang w:val="en-US" w:eastAsia="en-US" w:bidi="ar-TN"/>
              </w:rPr>
            </w:pPr>
            <w:r w:rsidRPr="00584F5F">
              <w:rPr>
                <w:color w:val="365F91"/>
                <w:sz w:val="18"/>
                <w:szCs w:val="18"/>
                <w:lang w:val="en-US"/>
              </w:rPr>
              <w:t>Main activities and responsibilities</w:t>
            </w:r>
            <w:r>
              <w:rPr>
                <w:rFonts w:eastAsia="Calibri"/>
                <w:color w:val="auto"/>
                <w:sz w:val="18"/>
                <w:szCs w:val="18"/>
                <w:lang w:val="en-US" w:eastAsia="en-US" w:bidi="ar-TN"/>
              </w:rPr>
              <w:t>:</w:t>
            </w:r>
          </w:p>
          <w:p w:rsidR="008C59EC" w:rsidRDefault="008C59EC" w:rsidP="008C59EC">
            <w:pPr>
              <w:pStyle w:val="ListParagraph1"/>
              <w:widowControl w:val="0"/>
              <w:spacing w:after="0"/>
              <w:ind w:left="-14"/>
              <w:jc w:val="both"/>
              <w:rPr>
                <w:rFonts w:ascii="Arial" w:eastAsia="Times New Roman" w:hAnsi="Arial"/>
                <w:sz w:val="18"/>
                <w:szCs w:val="18"/>
                <w:lang w:bidi="ar-SA"/>
              </w:rPr>
            </w:pPr>
            <w:r w:rsidRPr="0081292E">
              <w:rPr>
                <w:rStyle w:val="longtext"/>
                <w:sz w:val="18"/>
                <w:szCs w:val="18"/>
              </w:rPr>
              <w:t xml:space="preserve">- </w:t>
            </w:r>
            <w:r>
              <w:rPr>
                <w:rFonts w:ascii="Arial" w:eastAsia="Times New Roman" w:hAnsi="Arial"/>
                <w:sz w:val="18"/>
                <w:szCs w:val="18"/>
                <w:lang w:bidi="ar-SA"/>
              </w:rPr>
              <w:t>Lead and drive logistics process as per ISO 9001, ISO14001 and OHSAS 18001 standards and in compliance with NOV policies and procedures.</w:t>
            </w:r>
          </w:p>
          <w:p w:rsidR="008C59EC" w:rsidRPr="00642DCA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642DCA">
              <w:rPr>
                <w:rStyle w:val="longtext"/>
                <w:sz w:val="18"/>
                <w:szCs w:val="18"/>
                <w:lang w:val="en-US"/>
              </w:rPr>
              <w:t>- Report to the Regional Operations Manager in Dubai, on a weekly basis on equipment utilization and operating personnel status.</w:t>
            </w:r>
          </w:p>
          <w:p w:rsidR="008C59EC" w:rsidRPr="00642DCA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642DCA">
              <w:rPr>
                <w:rStyle w:val="longtext"/>
                <w:sz w:val="18"/>
                <w:szCs w:val="18"/>
                <w:lang w:val="en-US"/>
              </w:rPr>
              <w:t>- Crew change planning for engineers assigned to different drilling sites.</w:t>
            </w:r>
          </w:p>
          <w:p w:rsidR="008C59EC" w:rsidRPr="00DD14D8" w:rsidRDefault="008C59EC" w:rsidP="00DD14D8">
            <w:pPr>
              <w:pStyle w:val="Default"/>
              <w:spacing w:line="276" w:lineRule="auto"/>
              <w:rPr>
                <w:sz w:val="18"/>
                <w:szCs w:val="18"/>
                <w:lang w:val="en-US"/>
              </w:rPr>
            </w:pPr>
            <w:r w:rsidRPr="00642DCA">
              <w:rPr>
                <w:rStyle w:val="longtext"/>
                <w:sz w:val="18"/>
                <w:szCs w:val="18"/>
                <w:lang w:val="en-US"/>
              </w:rPr>
              <w:t>- Manage the transport of personnel and equipment between different points (drilling sites, base of Sfax, headquarters, airports, hotels, ports ...)</w:t>
            </w:r>
            <w:r w:rsidRPr="00642DCA">
              <w:rPr>
                <w:rStyle w:val="longtext"/>
                <w:sz w:val="18"/>
                <w:szCs w:val="18"/>
                <w:lang w:val="en-US"/>
              </w:rPr>
              <w:br/>
              <w:t xml:space="preserve">- Follow-up of the rolling stock (validity of the customs permit, registration cards, insurance certificates and technical </w:t>
            </w:r>
            <w:r>
              <w:rPr>
                <w:rStyle w:val="longtext"/>
                <w:sz w:val="18"/>
                <w:szCs w:val="18"/>
                <w:lang w:val="en-US"/>
              </w:rPr>
              <w:t>check.</w:t>
            </w:r>
            <w:r w:rsidRPr="00642DCA">
              <w:rPr>
                <w:rStyle w:val="longtext"/>
                <w:sz w:val="18"/>
                <w:szCs w:val="18"/>
                <w:lang w:val="en-US"/>
              </w:rPr>
              <w:t>)</w:t>
            </w:r>
            <w:r w:rsidRPr="00642DCA">
              <w:rPr>
                <w:rStyle w:val="longtext"/>
                <w:sz w:val="18"/>
                <w:szCs w:val="18"/>
                <w:lang w:val="en-US"/>
              </w:rPr>
              <w:br/>
            </w:r>
            <w:r w:rsidRPr="00DD14D8">
              <w:rPr>
                <w:sz w:val="18"/>
                <w:szCs w:val="18"/>
                <w:lang w:val="en-US"/>
              </w:rPr>
              <w:t>- Issue all documents related to equipment shipping and customs clearance.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Liaise with public administrations on formalities and matters related to operations.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 Book and monitor international freight for shipments from and to NOV Tunisia subdivision.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/>
              <w:rPr>
                <w:rStyle w:val="longtext"/>
              </w:rPr>
            </w:pPr>
            <w:r>
              <w:rPr>
                <w:rStyle w:val="longtext"/>
                <w:rFonts w:ascii="Arial" w:hAnsi="Arial"/>
                <w:sz w:val="18"/>
                <w:szCs w:val="18"/>
              </w:rPr>
              <w:t xml:space="preserve">- Spare-parts, consumables and screens monitoring to maintain stock level for all items. </w:t>
            </w:r>
          </w:p>
          <w:p w:rsidR="008C59EC" w:rsidRDefault="00330220" w:rsidP="008C59EC">
            <w:pPr>
              <w:pStyle w:val="Default"/>
              <w:jc w:val="both"/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</w:pPr>
            <w:r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  <w:t>M</w:t>
            </w:r>
            <w:r w:rsidR="008C59EC" w:rsidRPr="0040524E"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  <w:t xml:space="preserve">ission to National Oilwell Varco - Gabon :From 20 December 2013 to 26 </w:t>
            </w:r>
            <w:r w:rsidR="008C59EC"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  <w:t>February</w:t>
            </w:r>
            <w:r w:rsidR="008C59EC" w:rsidRPr="0040524E"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  <w:t xml:space="preserve"> 2014</w:t>
            </w:r>
            <w:r w:rsidR="008C59EC">
              <w:rPr>
                <w:rFonts w:eastAsia="Calibri"/>
                <w:b/>
                <w:bCs/>
                <w:color w:val="auto"/>
                <w:sz w:val="18"/>
                <w:szCs w:val="18"/>
                <w:u w:val="single"/>
                <w:lang w:val="en-US" w:eastAsia="en-US" w:bidi="ar-TN"/>
              </w:rPr>
              <w:t>:</w:t>
            </w:r>
          </w:p>
          <w:p w:rsidR="008C59EC" w:rsidRPr="002514C7" w:rsidRDefault="008C59EC" w:rsidP="008C59EC">
            <w:pPr>
              <w:pStyle w:val="Default"/>
              <w:jc w:val="both"/>
              <w:rPr>
                <w:color w:val="365F91"/>
                <w:sz w:val="18"/>
                <w:szCs w:val="18"/>
                <w:lang w:val="en-US"/>
              </w:rPr>
            </w:pPr>
            <w:r w:rsidRPr="00584F5F">
              <w:rPr>
                <w:color w:val="365F91"/>
                <w:sz w:val="18"/>
                <w:szCs w:val="18"/>
                <w:lang w:val="en-US"/>
              </w:rPr>
              <w:t>Main activities and responsibilities</w:t>
            </w:r>
            <w:r w:rsidRPr="002514C7">
              <w:rPr>
                <w:color w:val="365F91"/>
                <w:sz w:val="18"/>
                <w:szCs w:val="18"/>
                <w:lang w:val="en-US"/>
              </w:rPr>
              <w:t xml:space="preserve"> :</w:t>
            </w:r>
          </w:p>
          <w:p w:rsidR="008C59EC" w:rsidRPr="00C83EFA" w:rsidRDefault="008C59EC" w:rsidP="008C59EC">
            <w:pPr>
              <w:tabs>
                <w:tab w:val="left" w:leader="underscore" w:pos="4320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18"/>
                <w:szCs w:val="18"/>
                <w:lang w:bidi="ar-SA"/>
              </w:rPr>
            </w:pP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- Supervise all NOV </w:t>
            </w: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GABON </w:t>
            </w: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field activities </w:t>
            </w: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>and r</w:t>
            </w: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eport on a </w:t>
            </w: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>daily</w:t>
            </w: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 basis on equipment and personnel status and</w:t>
            </w: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 customers’</w:t>
            </w: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 requirements.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18"/>
                <w:szCs w:val="18"/>
                <w:lang w:bidi="ar-SA"/>
              </w:rPr>
            </w:pPr>
            <w:r w:rsidRPr="00C83EFA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- </w:t>
            </w: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Attend daily customers meetings in Port Gentil </w:t>
            </w:r>
            <w:r w:rsidR="00330220"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>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>- Plan, prepare and follow shipments of equipment, consumables and dangerous good from/to NOV Port Gentil base with consideration of special logistics means in GABON (Pirogues, barges, surfers…).</w:t>
            </w:r>
          </w:p>
          <w:p w:rsidR="008C59EC" w:rsidRDefault="008C59EC" w:rsidP="008C59EC">
            <w:pPr>
              <w:tabs>
                <w:tab w:val="left" w:leader="underscore" w:pos="4320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>- Prepare shipping documents as per NOV standards, customers’ requirements and Gabon legal requirements.</w:t>
            </w:r>
          </w:p>
          <w:p w:rsidR="008C59EC" w:rsidRPr="001F195E" w:rsidRDefault="008C59EC" w:rsidP="008C59EC">
            <w:pPr>
              <w:tabs>
                <w:tab w:val="left" w:leader="underscore" w:pos="4320"/>
              </w:tabs>
              <w:spacing w:after="0" w:line="240" w:lineRule="auto"/>
              <w:jc w:val="both"/>
              <w:rPr>
                <w:rFonts w:ascii="Arial" w:hAnsi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bidi="ar-SA"/>
              </w:rPr>
              <w:t xml:space="preserve">- Manage crew change on different Offshore / Onshore Rig sites.  </w:t>
            </w:r>
          </w:p>
        </w:tc>
      </w:tr>
      <w:tr w:rsidR="008C59EC" w:rsidRPr="0081292E" w:rsidTr="00AD5C05">
        <w:trPr>
          <w:trHeight w:val="131"/>
        </w:trPr>
        <w:tc>
          <w:tcPr>
            <w:tcW w:w="2150" w:type="dxa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jc w:val="right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Period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>•  From 02 January 2004 to 31 October 2006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KITAMEUBLE 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r w:rsidRPr="0031562C">
              <w:rPr>
                <w:rFonts w:ascii="Arial" w:hAnsi="Arial"/>
                <w:sz w:val="18"/>
                <w:szCs w:val="18"/>
              </w:rPr>
              <w:t xml:space="preserve"> Wood furniture manufacturing for export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 xml:space="preserve">Logistics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coordinator</w:t>
            </w:r>
          </w:p>
        </w:tc>
      </w:tr>
      <w:tr w:rsidR="008C59EC" w:rsidRPr="0081292E" w:rsidTr="00AD5C05">
        <w:trPr>
          <w:trHeight w:val="145"/>
        </w:trPr>
        <w:tc>
          <w:tcPr>
            <w:tcW w:w="10735" w:type="dxa"/>
            <w:gridSpan w:val="3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>- The intervention in launching production orders by the expression of customer needs.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Monitoring of production schedules and ensuring deadlines set by clients.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Coordination with the production manager to fill production delays, and allocate all logistical means available in this reason.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Management of finished goods stocks: Keeping all stock movements overseeing</w:t>
            </w:r>
          </w:p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>- Supervising a team of 16 storekeepers.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Planning and organization of international transport.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 xml:space="preserve">- Planning and scheduling of exports: Monitoring the delivery of the goods from Sfax to </w:t>
            </w:r>
            <w:smartTag w:uri="urn:schemas-microsoft-com:office:smarttags" w:element="City">
              <w:r w:rsidRPr="0081292E">
                <w:rPr>
                  <w:rStyle w:val="longtext"/>
                  <w:sz w:val="18"/>
                  <w:szCs w:val="18"/>
                  <w:lang w:val="en-US"/>
                </w:rPr>
                <w:t>Le Havre</w:t>
              </w:r>
            </w:smartTag>
            <w:r w:rsidRPr="0081292E">
              <w:rPr>
                <w:rStyle w:val="longtext"/>
                <w:sz w:val="18"/>
                <w:szCs w:val="18"/>
                <w:lang w:val="en-US"/>
              </w:rPr>
              <w:t xml:space="preserve"> - </w:t>
            </w:r>
            <w:smartTag w:uri="urn:schemas-microsoft-com:office:smarttags" w:element="country-region">
              <w:smartTag w:uri="urn:schemas-microsoft-com:office:smarttags" w:element="place">
                <w:r w:rsidRPr="0081292E">
                  <w:rPr>
                    <w:rStyle w:val="longtext"/>
                    <w:sz w:val="18"/>
                    <w:szCs w:val="18"/>
                    <w:lang w:val="en-US"/>
                  </w:rPr>
                  <w:t>France</w:t>
                </w:r>
              </w:smartTag>
            </w:smartTag>
            <w:r w:rsidRPr="0081292E">
              <w:rPr>
                <w:rStyle w:val="longtext"/>
                <w:sz w:val="18"/>
                <w:szCs w:val="18"/>
                <w:lang w:val="en-US"/>
              </w:rPr>
              <w:t>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Invoicing and account monitoring.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>•  From 05 November 2002 to 31 December 2003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E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mployer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/>
              <w:rPr>
                <w:rFonts w:ascii="Arial" w:hAnsi="Arial"/>
                <w:sz w:val="18"/>
                <w:szCs w:val="18"/>
              </w:rPr>
            </w:pPr>
            <w:r w:rsidRPr="0031562C">
              <w:rPr>
                <w:rFonts w:ascii="Arial" w:hAnsi="Arial"/>
                <w:sz w:val="18"/>
                <w:szCs w:val="18"/>
              </w:rPr>
              <w:t xml:space="preserve">KITAMEUBLE 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r w:rsidRPr="0031562C">
              <w:rPr>
                <w:rFonts w:ascii="Arial" w:hAnsi="Arial"/>
                <w:sz w:val="18"/>
                <w:szCs w:val="18"/>
              </w:rPr>
              <w:t xml:space="preserve"> Wood furniture manufacturing for export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bottom w:val="dotted" w:sz="4" w:space="0" w:color="auto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P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osition held</w:t>
            </w:r>
          </w:p>
        </w:tc>
        <w:tc>
          <w:tcPr>
            <w:tcW w:w="8585" w:type="dxa"/>
            <w:gridSpan w:val="2"/>
            <w:tcBorders>
              <w:left w:val="nil"/>
              <w:bottom w:val="dotted" w:sz="4" w:space="0" w:color="auto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1292E">
              <w:rPr>
                <w:rFonts w:ascii="Arial" w:hAnsi="Arial"/>
                <w:b/>
                <w:bCs/>
                <w:sz w:val="18"/>
                <w:szCs w:val="18"/>
              </w:rPr>
              <w:t>Supply chain coordinator</w:t>
            </w:r>
          </w:p>
        </w:tc>
      </w:tr>
      <w:tr w:rsidR="008C59EC" w:rsidRPr="0081292E" w:rsidTr="00AD5C05">
        <w:trPr>
          <w:trHeight w:val="145"/>
        </w:trPr>
        <w:tc>
          <w:tcPr>
            <w:tcW w:w="10735" w:type="dxa"/>
            <w:gridSpan w:val="3"/>
            <w:tcBorders>
              <w:left w:val="nil"/>
              <w:bottom w:val="single" w:sz="4" w:space="0" w:color="000000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>- Own and drive day-to-day supplier cost, quality, and delivery issues.</w:t>
            </w:r>
          </w:p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>- Select supp</w:t>
            </w:r>
            <w:r>
              <w:rPr>
                <w:rStyle w:val="longtext"/>
                <w:sz w:val="18"/>
                <w:szCs w:val="18"/>
                <w:lang w:val="en-US"/>
              </w:rPr>
              <w:t>liers from collecting quotes and u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t>pdate the list of approved suppliers of the company.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Monitor supplier performance and identify opportunities for improving the supply chain activity.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Identify and develop new sources of supply when existing sources were inadequate.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Check supplier invoices and track payments in coordination with the Finance Department.</w:t>
            </w:r>
            <w:r w:rsidRPr="0081292E">
              <w:rPr>
                <w:rStyle w:val="longtext"/>
                <w:sz w:val="18"/>
                <w:szCs w:val="18"/>
                <w:lang w:val="en-US"/>
              </w:rPr>
              <w:br/>
              <w:t>- Review bids, and preparing suppliers quotes for final selection.</w:t>
            </w:r>
          </w:p>
          <w:p w:rsidR="008C59EC" w:rsidRPr="0081292E" w:rsidRDefault="008C59EC" w:rsidP="008C59EC">
            <w:pPr>
              <w:pStyle w:val="Default"/>
              <w:spacing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sz w:val="18"/>
                <w:szCs w:val="18"/>
                <w:lang w:val="en-US"/>
              </w:rPr>
              <w:t>- Manage raw materials stores (wood and accessories).</w:t>
            </w:r>
          </w:p>
        </w:tc>
      </w:tr>
      <w:tr w:rsidR="008C59EC" w:rsidRPr="0081292E" w:rsidTr="00AD5C05">
        <w:trPr>
          <w:trHeight w:val="356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6D09C8" w:rsidRDefault="008C59EC" w:rsidP="008C59EC">
            <w:pPr>
              <w:spacing w:after="0" w:line="240" w:lineRule="auto"/>
              <w:rPr>
                <w:rFonts w:ascii="Arial" w:hAnsi="Arial"/>
                <w:b/>
                <w:bCs/>
                <w:sz w:val="18"/>
                <w:szCs w:val="18"/>
                <w:u w:val="single"/>
              </w:rPr>
            </w:pPr>
            <w:r w:rsidRPr="006D09C8">
              <w:rPr>
                <w:rFonts w:ascii="Arial" w:hAnsi="Arial"/>
                <w:b/>
                <w:bCs/>
                <w:smallCaps/>
                <w:color w:val="7030A0"/>
                <w:sz w:val="20"/>
                <w:szCs w:val="20"/>
                <w:u w:val="single"/>
              </w:rPr>
              <w:t>Trainings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Date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color w:val="365F91"/>
                <w:sz w:val="18"/>
                <w:szCs w:val="18"/>
              </w:rPr>
              <w:t>Subject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130F2F" w:rsidRDefault="008C59EC" w:rsidP="008C59EC">
            <w:pPr>
              <w:spacing w:after="0"/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</w:pPr>
            <w:r w:rsidRPr="00130F2F"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 xml:space="preserve">• </w:t>
            </w:r>
            <w:r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>March 2017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CC0305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 w:rsidRPr="00CC0305">
              <w:rPr>
                <w:rStyle w:val="longtext"/>
                <w:b/>
                <w:sz w:val="18"/>
                <w:szCs w:val="18"/>
                <w:lang w:val="en-US"/>
              </w:rPr>
              <w:t>Fir</w:t>
            </w:r>
            <w:r>
              <w:rPr>
                <w:rStyle w:val="longtext"/>
                <w:b/>
                <w:sz w:val="18"/>
                <w:szCs w:val="18"/>
                <w:lang w:val="en-US"/>
              </w:rPr>
              <w:t>st Aid</w:t>
            </w:r>
            <w:r w:rsidRPr="00CC0305">
              <w:rPr>
                <w:rStyle w:val="longtext"/>
                <w:b/>
                <w:sz w:val="18"/>
                <w:szCs w:val="18"/>
                <w:lang w:val="en-US"/>
              </w:rPr>
              <w:t xml:space="preserve"> training in level II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130F2F" w:rsidRDefault="008C59EC" w:rsidP="008C59EC">
            <w:pPr>
              <w:spacing w:after="0"/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</w:pPr>
            <w:r w:rsidRPr="00130F2F"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 xml:space="preserve">• </w:t>
            </w:r>
            <w:r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 xml:space="preserve"> March 2017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CC0305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 w:rsidRPr="00CC0305">
              <w:rPr>
                <w:rStyle w:val="longtext"/>
                <w:b/>
                <w:sz w:val="18"/>
                <w:szCs w:val="18"/>
                <w:lang w:val="en-US"/>
              </w:rPr>
              <w:t xml:space="preserve">Firefignting training </w:t>
            </w:r>
            <w:r>
              <w:rPr>
                <w:rStyle w:val="longtext"/>
                <w:b/>
                <w:sz w:val="18"/>
                <w:szCs w:val="18"/>
                <w:lang w:val="en-US"/>
              </w:rPr>
              <w:t>i</w:t>
            </w:r>
            <w:r w:rsidRPr="00CC0305">
              <w:rPr>
                <w:rStyle w:val="longtext"/>
                <w:b/>
                <w:sz w:val="18"/>
                <w:szCs w:val="18"/>
                <w:lang w:val="en-US"/>
              </w:rPr>
              <w:t>n level II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3809F6">
              <w:rPr>
                <w:rFonts w:ascii="Arial" w:hAnsi="Arial"/>
                <w:sz w:val="18"/>
                <w:szCs w:val="18"/>
              </w:rPr>
              <w:t xml:space="preserve">• </w:t>
            </w:r>
            <w:r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 xml:space="preserve"> March 2017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>
              <w:rPr>
                <w:rStyle w:val="longtext"/>
                <w:b/>
                <w:sz w:val="18"/>
                <w:szCs w:val="18"/>
                <w:lang w:val="en-US"/>
              </w:rPr>
              <w:t>Training in defensive driving.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3809F6">
              <w:rPr>
                <w:rFonts w:ascii="Arial" w:hAnsi="Arial"/>
                <w:sz w:val="18"/>
                <w:szCs w:val="18"/>
              </w:rPr>
              <w:t xml:space="preserve">• </w:t>
            </w:r>
            <w:r>
              <w:rPr>
                <w:rStyle w:val="longtext"/>
                <w:rFonts w:ascii="Arial" w:eastAsia="Times New Roman" w:hAnsi="Arial"/>
                <w:color w:val="000000"/>
                <w:sz w:val="18"/>
                <w:szCs w:val="18"/>
                <w:lang w:val="fr-FR" w:eastAsia="fr-FR" w:bidi="ar-SA"/>
              </w:rPr>
              <w:t>August 2015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>
              <w:rPr>
                <w:rStyle w:val="longtext"/>
                <w:b/>
                <w:sz w:val="18"/>
                <w:szCs w:val="18"/>
                <w:lang w:val="en-US"/>
              </w:rPr>
              <w:t>Management, commissioning and troubleshooting of solids control equipment.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3809F6">
              <w:rPr>
                <w:rFonts w:ascii="Arial" w:hAnsi="Arial"/>
                <w:sz w:val="18"/>
                <w:szCs w:val="18"/>
              </w:rPr>
              <w:t xml:space="preserve">• </w:t>
            </w:r>
            <w:r w:rsidRPr="003809F6">
              <w:rPr>
                <w:rStyle w:val="longtext"/>
                <w:rFonts w:ascii="Arial" w:hAnsi="Arial"/>
                <w:sz w:val="18"/>
                <w:szCs w:val="18"/>
              </w:rPr>
              <w:t>June  2013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 w:rsidRPr="003809F6">
              <w:rPr>
                <w:rStyle w:val="longtext"/>
                <w:b/>
                <w:sz w:val="18"/>
                <w:szCs w:val="18"/>
                <w:lang w:val="en-US"/>
              </w:rPr>
              <w:t xml:space="preserve">OHSAS 18001:2007 </w:t>
            </w:r>
            <w:r>
              <w:rPr>
                <w:rStyle w:val="longtext"/>
                <w:b/>
                <w:sz w:val="18"/>
                <w:szCs w:val="18"/>
                <w:lang w:val="en-US"/>
              </w:rPr>
              <w:t xml:space="preserve"> auditor qualification </w:t>
            </w:r>
            <w:r w:rsidRPr="003809F6">
              <w:rPr>
                <w:rStyle w:val="longtext"/>
                <w:b/>
                <w:sz w:val="18"/>
                <w:szCs w:val="18"/>
                <w:lang w:val="en-US"/>
              </w:rPr>
              <w:t xml:space="preserve">training with SGS 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3809F6">
              <w:rPr>
                <w:rFonts w:ascii="Arial" w:hAnsi="Arial"/>
                <w:sz w:val="18"/>
                <w:szCs w:val="18"/>
              </w:rPr>
              <w:t xml:space="preserve">• </w:t>
            </w:r>
            <w:r w:rsidRPr="003809F6">
              <w:rPr>
                <w:rStyle w:val="longtext"/>
                <w:rFonts w:ascii="Arial" w:hAnsi="Arial"/>
                <w:sz w:val="18"/>
                <w:szCs w:val="18"/>
              </w:rPr>
              <w:t xml:space="preserve">From 2010 up to </w:t>
            </w:r>
            <w:r>
              <w:rPr>
                <w:rStyle w:val="longtext"/>
                <w:rFonts w:ascii="Arial" w:hAnsi="Arial"/>
                <w:sz w:val="18"/>
                <w:szCs w:val="18"/>
              </w:rPr>
              <w:t>Feb.2015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pStyle w:val="Default"/>
              <w:spacing w:line="276" w:lineRule="auto"/>
              <w:rPr>
                <w:rStyle w:val="longtext"/>
                <w:b/>
                <w:sz w:val="18"/>
                <w:szCs w:val="18"/>
                <w:lang w:val="en-US"/>
              </w:rPr>
            </w:pPr>
            <w:r w:rsidRPr="003809F6">
              <w:rPr>
                <w:rStyle w:val="longtext"/>
                <w:b/>
                <w:sz w:val="18"/>
                <w:szCs w:val="18"/>
                <w:lang w:val="en-US"/>
              </w:rPr>
              <w:t>NOV online trainings (Ethics and compliance, 17 HSE guiding principles…)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 w:rsidRPr="003809F6">
              <w:rPr>
                <w:rStyle w:val="longtext"/>
                <w:rFonts w:ascii="Arial" w:hAnsi="Arial"/>
                <w:sz w:val="18"/>
                <w:szCs w:val="18"/>
              </w:rPr>
              <w:t>•  Dec. 2011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809F6">
              <w:rPr>
                <w:rFonts w:ascii="Arial" w:hAnsi="Arial"/>
                <w:b/>
                <w:sz w:val="18"/>
                <w:szCs w:val="18"/>
              </w:rPr>
              <w:t xml:space="preserve">Solids control 202 training course at NOV Brandt office in Dubai. 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Style w:val="longtext"/>
                <w:rFonts w:ascii="Arial" w:hAnsi="Arial"/>
                <w:sz w:val="18"/>
                <w:szCs w:val="18"/>
              </w:rPr>
              <w:t xml:space="preserve">•  </w:t>
            </w:r>
            <w:r w:rsidRPr="003809F6">
              <w:rPr>
                <w:rStyle w:val="longtext"/>
                <w:rFonts w:ascii="Arial" w:hAnsi="Arial"/>
                <w:sz w:val="18"/>
                <w:szCs w:val="18"/>
              </w:rPr>
              <w:t>Dec</w:t>
            </w:r>
            <w:r>
              <w:rPr>
                <w:rStyle w:val="longtext"/>
                <w:rFonts w:ascii="Arial" w:hAnsi="Arial"/>
                <w:sz w:val="18"/>
                <w:szCs w:val="18"/>
              </w:rPr>
              <w:t>.</w:t>
            </w:r>
            <w:r w:rsidRPr="003809F6">
              <w:rPr>
                <w:rStyle w:val="longtext"/>
                <w:rFonts w:ascii="Arial" w:hAnsi="Arial"/>
                <w:sz w:val="18"/>
                <w:szCs w:val="18"/>
              </w:rPr>
              <w:t xml:space="preserve"> 2010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809F6">
              <w:rPr>
                <w:rFonts w:ascii="Arial" w:hAnsi="Arial"/>
                <w:b/>
                <w:sz w:val="18"/>
                <w:szCs w:val="18"/>
              </w:rPr>
              <w:t>Training in internal audit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• </w:t>
            </w:r>
            <w:r w:rsidRPr="003809F6">
              <w:rPr>
                <w:rFonts w:ascii="Arial" w:hAnsi="Arial"/>
                <w:sz w:val="18"/>
                <w:szCs w:val="18"/>
              </w:rPr>
              <w:t>Oct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3809F6">
              <w:rPr>
                <w:rFonts w:ascii="Arial" w:hAnsi="Arial"/>
                <w:sz w:val="18"/>
                <w:szCs w:val="18"/>
              </w:rPr>
              <w:t xml:space="preserve"> 2010:</w:t>
            </w:r>
          </w:p>
        </w:tc>
        <w:tc>
          <w:tcPr>
            <w:tcW w:w="7872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809F6" w:rsidRDefault="008C59EC" w:rsidP="008C59E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3809F6">
              <w:rPr>
                <w:rFonts w:ascii="Arial" w:hAnsi="Arial"/>
                <w:b/>
                <w:sz w:val="18"/>
                <w:szCs w:val="18"/>
              </w:rPr>
              <w:t>Training in ISO 9001:2008 process approach</w:t>
            </w:r>
          </w:p>
        </w:tc>
      </w:tr>
      <w:tr w:rsidR="008C59EC" w:rsidRPr="0081292E" w:rsidTr="00AD5C05">
        <w:trPr>
          <w:trHeight w:val="145"/>
        </w:trPr>
        <w:tc>
          <w:tcPr>
            <w:tcW w:w="2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43293E" w:rsidRDefault="008C59EC" w:rsidP="008C59EC">
            <w:pPr>
              <w:spacing w:after="0" w:line="240" w:lineRule="auto"/>
              <w:jc w:val="right"/>
              <w:rPr>
                <w:rFonts w:ascii="Arial" w:hAnsi="Arial"/>
                <w:color w:val="365F91"/>
                <w:sz w:val="10"/>
                <w:szCs w:val="18"/>
              </w:rPr>
            </w:pPr>
          </w:p>
        </w:tc>
        <w:tc>
          <w:tcPr>
            <w:tcW w:w="7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43293E" w:rsidRDefault="008C59EC" w:rsidP="008C59EC">
            <w:pPr>
              <w:spacing w:after="0" w:line="240" w:lineRule="auto"/>
              <w:rPr>
                <w:rFonts w:ascii="Arial" w:hAnsi="Arial"/>
                <w:sz w:val="10"/>
                <w:szCs w:val="18"/>
              </w:rPr>
            </w:pPr>
          </w:p>
        </w:tc>
      </w:tr>
      <w:tr w:rsidR="008C59EC" w:rsidRPr="0081292E" w:rsidTr="00AD5C05">
        <w:trPr>
          <w:trHeight w:val="384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6D09C8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8"/>
                <w:szCs w:val="18"/>
                <w:u w:val="single"/>
                <w:lang w:val="en-US"/>
              </w:rPr>
            </w:pPr>
            <w:r w:rsidRPr="003809F6">
              <w:rPr>
                <w:b/>
                <w:bCs/>
                <w:smallCaps/>
                <w:color w:val="7030A0"/>
                <w:sz w:val="20"/>
                <w:szCs w:val="20"/>
                <w:u w:val="single"/>
                <w:lang w:val="en-US"/>
              </w:rPr>
              <w:t>Education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Dates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sz w:val="18"/>
                <w:szCs w:val="18"/>
                <w:lang w:val="en-US"/>
              </w:rPr>
              <w:t>September 2010 to July 2011: Night Classes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Name of organization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rStyle w:val="longtext"/>
                <w:sz w:val="18"/>
                <w:szCs w:val="18"/>
                <w:lang w:val="en-US"/>
              </w:rPr>
              <w:t xml:space="preserve">High Institute of Technological Studies </w:t>
            </w:r>
            <w:r>
              <w:rPr>
                <w:rStyle w:val="longtext"/>
                <w:sz w:val="18"/>
                <w:szCs w:val="18"/>
                <w:lang w:val="en-US"/>
              </w:rPr>
              <w:t>–</w:t>
            </w:r>
            <w:r w:rsidRPr="0031562C">
              <w:rPr>
                <w:rStyle w:val="longtext"/>
                <w:sz w:val="18"/>
                <w:szCs w:val="18"/>
                <w:lang w:val="en-US"/>
              </w:rPr>
              <w:t>Sfax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 xml:space="preserve">Title of qualification 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longtext"/>
                <w:b/>
                <w:bCs/>
                <w:sz w:val="18"/>
                <w:szCs w:val="18"/>
                <w:lang w:val="en-US"/>
              </w:rPr>
              <w:t xml:space="preserve">Bachelor </w:t>
            </w:r>
            <w:r w:rsidRPr="0081292E">
              <w:rPr>
                <w:rStyle w:val="longtext"/>
                <w:b/>
                <w:bCs/>
                <w:sz w:val="18"/>
                <w:szCs w:val="18"/>
                <w:lang w:val="en-US"/>
              </w:rPr>
              <w:t xml:space="preserve">degree in “Business administration”, specialty: Management of quality projects 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Dates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rStyle w:val="longtext"/>
                <w:sz w:val="18"/>
                <w:szCs w:val="18"/>
                <w:lang w:val="en-US"/>
              </w:rPr>
              <w:t>September 1999 to July 2002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Name of organization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rStyle w:val="longtext"/>
                <w:sz w:val="18"/>
                <w:szCs w:val="18"/>
                <w:lang w:val="en-US"/>
              </w:rPr>
              <w:t xml:space="preserve">High Institute of Technological Studies </w:t>
            </w:r>
            <w:r>
              <w:rPr>
                <w:rStyle w:val="longtext"/>
                <w:sz w:val="18"/>
                <w:szCs w:val="18"/>
                <w:lang w:val="en-US"/>
              </w:rPr>
              <w:t>–</w:t>
            </w:r>
            <w:r w:rsidRPr="0031562C">
              <w:rPr>
                <w:rStyle w:val="longtext"/>
                <w:sz w:val="18"/>
                <w:szCs w:val="18"/>
                <w:lang w:val="en-US"/>
              </w:rPr>
              <w:t>Sfax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AB58B5">
              <w:rPr>
                <w:rFonts w:ascii="Arial" w:hAnsi="Arial"/>
                <w:color w:val="365F91"/>
                <w:sz w:val="16"/>
                <w:szCs w:val="16"/>
              </w:rPr>
              <w:t>Title of qualification</w:t>
            </w:r>
            <w:r w:rsidRPr="0081292E">
              <w:rPr>
                <w:rFonts w:ascii="Arial" w:hAnsi="Arial"/>
                <w:color w:val="365F91"/>
                <w:sz w:val="18"/>
                <w:szCs w:val="18"/>
              </w:rPr>
              <w:t xml:space="preserve"> awarded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8"/>
                <w:szCs w:val="18"/>
                <w:lang w:val="en-US"/>
              </w:rPr>
            </w:pPr>
            <w:r w:rsidRPr="0081292E">
              <w:rPr>
                <w:rStyle w:val="longtext"/>
                <w:b/>
                <w:bCs/>
                <w:sz w:val="18"/>
                <w:szCs w:val="18"/>
                <w:lang w:val="en-US"/>
              </w:rPr>
              <w:t xml:space="preserve">Diploma of “Higher Education in </w:t>
            </w:r>
            <w:r w:rsidRPr="002C5344">
              <w:rPr>
                <w:rStyle w:val="longtext"/>
                <w:b/>
                <w:bCs/>
                <w:sz w:val="18"/>
                <w:szCs w:val="18"/>
                <w:lang w:val="en-US"/>
              </w:rPr>
              <w:t>Trade Techniques and External Relations</w:t>
            </w:r>
            <w:r w:rsidRPr="0081292E">
              <w:rPr>
                <w:rStyle w:val="longtext"/>
                <w:b/>
                <w:bCs/>
                <w:sz w:val="18"/>
                <w:szCs w:val="18"/>
                <w:lang w:val="en-US"/>
              </w:rPr>
              <w:t>”</w:t>
            </w:r>
          </w:p>
        </w:tc>
      </w:tr>
      <w:tr w:rsidR="008C59EC" w:rsidRPr="0081292E" w:rsidTr="00AD5C05">
        <w:trPr>
          <w:trHeight w:val="384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6D09C8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8"/>
                <w:szCs w:val="18"/>
                <w:u w:val="single"/>
                <w:lang w:val="en-US"/>
              </w:rPr>
            </w:pPr>
            <w:r w:rsidRPr="006D09C8">
              <w:rPr>
                <w:b/>
                <w:bCs/>
                <w:smallCaps/>
                <w:color w:val="7030A0"/>
                <w:sz w:val="20"/>
                <w:szCs w:val="20"/>
                <w:u w:val="single"/>
              </w:rPr>
              <w:t xml:space="preserve">Other Qualifications 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Date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>June 2013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bottom w:val="single" w:sz="4" w:space="0" w:color="000000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Title of qualification awarded</w:t>
            </w:r>
          </w:p>
        </w:tc>
        <w:tc>
          <w:tcPr>
            <w:tcW w:w="8585" w:type="dxa"/>
            <w:gridSpan w:val="2"/>
            <w:tcBorders>
              <w:left w:val="nil"/>
              <w:bottom w:val="single" w:sz="4" w:space="0" w:color="000000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D15C2E" w:rsidP="00D15C2E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b/>
                <w:bCs/>
                <w:sz w:val="18"/>
                <w:szCs w:val="18"/>
                <w:lang w:val="en-US"/>
              </w:rPr>
              <w:t xml:space="preserve">Safety </w:t>
            </w:r>
            <w:r w:rsidR="008C59EC">
              <w:rPr>
                <w:rStyle w:val="longtext"/>
                <w:b/>
                <w:bCs/>
                <w:sz w:val="18"/>
                <w:szCs w:val="18"/>
                <w:lang w:val="en-US"/>
              </w:rPr>
              <w:t xml:space="preserve">Lead Auditor </w:t>
            </w:r>
            <w:r>
              <w:rPr>
                <w:rStyle w:val="longtext"/>
                <w:b/>
                <w:bCs/>
                <w:sz w:val="18"/>
                <w:szCs w:val="18"/>
                <w:lang w:val="en-US"/>
              </w:rPr>
              <w:t>(</w:t>
            </w:r>
            <w:r w:rsidR="008C59EC">
              <w:rPr>
                <w:rStyle w:val="longtext"/>
                <w:b/>
                <w:bCs/>
                <w:sz w:val="18"/>
                <w:szCs w:val="18"/>
                <w:lang w:val="en-US"/>
              </w:rPr>
              <w:t>OHSAS 18001</w:t>
            </w:r>
            <w:r>
              <w:rPr>
                <w:rStyle w:val="longtext"/>
                <w:b/>
                <w:bCs/>
                <w:sz w:val="18"/>
                <w:szCs w:val="18"/>
                <w:lang w:val="en-US"/>
              </w:rPr>
              <w:t>)</w:t>
            </w:r>
            <w:r w:rsidR="008C59EC">
              <w:rPr>
                <w:rStyle w:val="longtext"/>
                <w:b/>
                <w:bCs/>
                <w:sz w:val="18"/>
                <w:szCs w:val="18"/>
                <w:lang w:val="en-US"/>
              </w:rPr>
              <w:t>.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43293E" w:rsidRDefault="008C59EC" w:rsidP="008C59EC">
            <w:pPr>
              <w:spacing w:after="0" w:line="240" w:lineRule="auto"/>
              <w:jc w:val="right"/>
              <w:rPr>
                <w:rFonts w:ascii="Arial" w:hAnsi="Arial"/>
                <w:color w:val="365F91"/>
                <w:sz w:val="10"/>
                <w:szCs w:val="18"/>
              </w:rPr>
            </w:pPr>
          </w:p>
        </w:tc>
        <w:tc>
          <w:tcPr>
            <w:tcW w:w="8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43293E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0"/>
                <w:szCs w:val="18"/>
                <w:lang w:val="en-US"/>
              </w:rPr>
            </w:pPr>
          </w:p>
        </w:tc>
      </w:tr>
      <w:tr w:rsidR="008C59EC" w:rsidRPr="0081292E" w:rsidTr="00AD5C05">
        <w:trPr>
          <w:trHeight w:val="356"/>
        </w:trPr>
        <w:tc>
          <w:tcPr>
            <w:tcW w:w="10735" w:type="dxa"/>
            <w:gridSpan w:val="3"/>
            <w:tcBorders>
              <w:top w:val="single" w:sz="4" w:space="0" w:color="000000"/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6D09C8" w:rsidRDefault="008C59EC" w:rsidP="008C59EC">
            <w:pPr>
              <w:pStyle w:val="Default"/>
              <w:spacing w:line="276" w:lineRule="auto"/>
              <w:rPr>
                <w:rStyle w:val="longtext"/>
                <w:b/>
                <w:bCs/>
                <w:sz w:val="18"/>
                <w:szCs w:val="18"/>
                <w:u w:val="single"/>
                <w:lang w:val="en-US"/>
              </w:rPr>
            </w:pPr>
            <w:r w:rsidRPr="006D09C8">
              <w:rPr>
                <w:b/>
                <w:bCs/>
                <w:smallCaps/>
                <w:color w:val="7030A0"/>
                <w:sz w:val="20"/>
                <w:szCs w:val="20"/>
                <w:u w:val="single"/>
              </w:rPr>
              <w:t>skills</w:t>
            </w:r>
          </w:p>
        </w:tc>
      </w:tr>
      <w:tr w:rsidR="008C59EC" w:rsidRPr="0081292E" w:rsidTr="00AD5C05">
        <w:trPr>
          <w:trHeight w:val="145"/>
        </w:trPr>
        <w:tc>
          <w:tcPr>
            <w:tcW w:w="2150" w:type="dxa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330220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>
              <w:rPr>
                <w:rFonts w:ascii="Arial" w:hAnsi="Arial"/>
                <w:color w:val="365F91"/>
                <w:sz w:val="18"/>
                <w:szCs w:val="18"/>
              </w:rPr>
              <w:t>Computer skills</w:t>
            </w:r>
          </w:p>
        </w:tc>
        <w:tc>
          <w:tcPr>
            <w:tcW w:w="8585" w:type="dxa"/>
            <w:gridSpan w:val="2"/>
            <w:tcBorders>
              <w:left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4348DF" w:rsidRDefault="008C59EC" w:rsidP="008C59EC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rStyle w:val="longtext"/>
                <w:sz w:val="18"/>
                <w:szCs w:val="18"/>
                <w:lang w:val="en-US"/>
              </w:rPr>
              <w:t xml:space="preserve">Excellent level of computer literacy including full </w:t>
            </w:r>
            <w:r>
              <w:rPr>
                <w:rStyle w:val="longtext"/>
                <w:sz w:val="18"/>
                <w:szCs w:val="18"/>
                <w:lang w:val="en-US"/>
              </w:rPr>
              <w:t>com</w:t>
            </w:r>
            <w:r w:rsidR="004348DF">
              <w:rPr>
                <w:rStyle w:val="longtext"/>
                <w:sz w:val="18"/>
                <w:szCs w:val="18"/>
                <w:lang w:val="en-US"/>
              </w:rPr>
              <w:t>mand of the Microsoft Office, Sage and Coswin.</w:t>
            </w:r>
          </w:p>
          <w:p w:rsidR="008C59EC" w:rsidRPr="0031562C" w:rsidRDefault="008C59EC" w:rsidP="004348DF">
            <w:pPr>
              <w:pStyle w:val="Default"/>
              <w:spacing w:line="276" w:lineRule="auto"/>
              <w:rPr>
                <w:rStyle w:val="longtext"/>
                <w:sz w:val="18"/>
                <w:szCs w:val="18"/>
                <w:lang w:val="en-US"/>
              </w:rPr>
            </w:pPr>
            <w:r>
              <w:rPr>
                <w:rStyle w:val="longtext"/>
                <w:sz w:val="18"/>
                <w:szCs w:val="18"/>
                <w:lang w:val="en-US"/>
              </w:rPr>
              <w:t xml:space="preserve">ERP:  Microsoft </w:t>
            </w:r>
            <w:bookmarkStart w:id="0" w:name="_GoBack"/>
            <w:bookmarkEnd w:id="0"/>
            <w:r>
              <w:rPr>
                <w:rStyle w:val="longtext"/>
                <w:sz w:val="18"/>
                <w:szCs w:val="18"/>
                <w:lang w:val="en-US"/>
              </w:rPr>
              <w:t>Dynamic AX and Odoo.</w:t>
            </w:r>
          </w:p>
        </w:tc>
      </w:tr>
      <w:tr w:rsidR="008C59EC" w:rsidRPr="0081292E" w:rsidTr="00330220">
        <w:trPr>
          <w:trHeight w:val="145"/>
        </w:trPr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81292E" w:rsidRDefault="008C59EC" w:rsidP="008C59EC">
            <w:pPr>
              <w:spacing w:after="0" w:line="240" w:lineRule="auto"/>
              <w:rPr>
                <w:rFonts w:ascii="Arial" w:hAnsi="Arial"/>
                <w:color w:val="365F91"/>
                <w:sz w:val="18"/>
                <w:szCs w:val="18"/>
              </w:rPr>
            </w:pPr>
            <w:r w:rsidRPr="0081292E">
              <w:rPr>
                <w:rFonts w:ascii="Arial" w:hAnsi="Arial"/>
                <w:color w:val="365F91"/>
                <w:sz w:val="18"/>
                <w:szCs w:val="18"/>
              </w:rPr>
              <w:t>Languages</w:t>
            </w:r>
          </w:p>
        </w:tc>
        <w:tc>
          <w:tcPr>
            <w:tcW w:w="8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  <w:vAlign w:val="center"/>
          </w:tcPr>
          <w:p w:rsidR="008C59EC" w:rsidRPr="0031562C" w:rsidRDefault="008C59EC" w:rsidP="008C59EC">
            <w:pPr>
              <w:pStyle w:val="Default"/>
              <w:spacing w:line="276" w:lineRule="auto"/>
              <w:jc w:val="both"/>
              <w:rPr>
                <w:rStyle w:val="longtext"/>
                <w:sz w:val="18"/>
                <w:szCs w:val="18"/>
                <w:lang w:val="en-US"/>
              </w:rPr>
            </w:pPr>
            <w:r w:rsidRPr="0031562C">
              <w:rPr>
                <w:rStyle w:val="longtext"/>
                <w:sz w:val="18"/>
                <w:szCs w:val="18"/>
                <w:lang w:val="en-US"/>
              </w:rPr>
              <w:t>Arabic : Mother tongue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         </w:t>
            </w:r>
            <w:r w:rsidRPr="0031562C">
              <w:rPr>
                <w:rStyle w:val="longtext"/>
                <w:sz w:val="18"/>
                <w:szCs w:val="18"/>
                <w:lang w:val="en-US"/>
              </w:rPr>
              <w:t xml:space="preserve"> French: read, spoken and written</w:t>
            </w:r>
            <w:r>
              <w:rPr>
                <w:rStyle w:val="longtext"/>
                <w:sz w:val="18"/>
                <w:szCs w:val="18"/>
                <w:lang w:val="en-US"/>
              </w:rPr>
              <w:t xml:space="preserve">         </w:t>
            </w:r>
            <w:r w:rsidRPr="0031562C">
              <w:rPr>
                <w:rStyle w:val="longtext"/>
                <w:sz w:val="18"/>
                <w:szCs w:val="18"/>
                <w:lang w:val="en-US"/>
              </w:rPr>
              <w:t xml:space="preserve"> English: read, spoken and written</w:t>
            </w:r>
          </w:p>
        </w:tc>
      </w:tr>
    </w:tbl>
    <w:p w:rsidR="00D06666" w:rsidRPr="00F64000" w:rsidRDefault="00D06666" w:rsidP="00AD5C05"/>
    <w:sectPr w:rsidR="00D06666" w:rsidRPr="00F64000" w:rsidSect="00250E9D">
      <w:headerReference w:type="default" r:id="rId10"/>
      <w:footerReference w:type="default" r:id="rId11"/>
      <w:pgSz w:w="12240" w:h="15840"/>
      <w:pgMar w:top="432" w:right="720" w:bottom="720" w:left="907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65D" w:rsidRDefault="00FC565D" w:rsidP="00F64000">
      <w:pPr>
        <w:spacing w:after="0" w:line="240" w:lineRule="auto"/>
      </w:pPr>
      <w:r>
        <w:separator/>
      </w:r>
    </w:p>
  </w:endnote>
  <w:endnote w:type="continuationSeparator" w:id="1">
    <w:p w:rsidR="00FC565D" w:rsidRDefault="00FC565D" w:rsidP="00F6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A8" w:rsidRPr="00E63296" w:rsidRDefault="00FE61A8">
    <w:pPr>
      <w:pStyle w:val="Pieddepage"/>
      <w:jc w:val="right"/>
      <w:rPr>
        <w:sz w:val="18"/>
        <w:szCs w:val="18"/>
      </w:rPr>
    </w:pPr>
    <w:r w:rsidRPr="00E63296">
      <w:rPr>
        <w:sz w:val="18"/>
        <w:szCs w:val="18"/>
      </w:rPr>
      <w:t xml:space="preserve">Page | </w:t>
    </w:r>
    <w:r w:rsidR="00DB4316" w:rsidRPr="00E63296">
      <w:rPr>
        <w:sz w:val="18"/>
        <w:szCs w:val="18"/>
      </w:rPr>
      <w:fldChar w:fldCharType="begin"/>
    </w:r>
    <w:r w:rsidRPr="00E63296">
      <w:rPr>
        <w:sz w:val="18"/>
        <w:szCs w:val="18"/>
      </w:rPr>
      <w:instrText xml:space="preserve"> PAGE   \* MERGEFORMAT </w:instrText>
    </w:r>
    <w:r w:rsidR="00DB4316" w:rsidRPr="00E63296">
      <w:rPr>
        <w:sz w:val="18"/>
        <w:szCs w:val="18"/>
      </w:rPr>
      <w:fldChar w:fldCharType="separate"/>
    </w:r>
    <w:r w:rsidR="00D15C2E">
      <w:rPr>
        <w:noProof/>
        <w:sz w:val="18"/>
        <w:szCs w:val="18"/>
      </w:rPr>
      <w:t>3</w:t>
    </w:r>
    <w:r w:rsidR="00DB4316" w:rsidRPr="00E63296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65D" w:rsidRDefault="00FC565D" w:rsidP="00F64000">
      <w:pPr>
        <w:spacing w:after="0" w:line="240" w:lineRule="auto"/>
      </w:pPr>
      <w:r>
        <w:separator/>
      </w:r>
    </w:p>
  </w:footnote>
  <w:footnote w:type="continuationSeparator" w:id="1">
    <w:p w:rsidR="00FC565D" w:rsidRDefault="00FC565D" w:rsidP="00F6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1A8" w:rsidRPr="0081292E" w:rsidRDefault="00FE61A8" w:rsidP="006D4D4C">
    <w:pPr>
      <w:pStyle w:val="En-tte"/>
      <w:jc w:val="right"/>
      <w:rPr>
        <w:rFonts w:ascii="Arial" w:hAnsi="Arial"/>
        <w:b/>
        <w:bCs/>
        <w:i/>
        <w:iCs/>
        <w:smallCaps/>
        <w:noProof/>
        <w:lang w:bidi="ar-SA"/>
      </w:rPr>
    </w:pPr>
    <w:r>
      <w:rPr>
        <w:rFonts w:ascii="Arial" w:hAnsi="Arial"/>
        <w:b/>
        <w:bCs/>
        <w:i/>
        <w:iCs/>
        <w:smallCaps/>
        <w:noProof/>
        <w:lang w:bidi="ar-SA"/>
      </w:rPr>
      <w:t>C</w:t>
    </w:r>
    <w:r w:rsidRPr="0081292E">
      <w:rPr>
        <w:rFonts w:ascii="Arial" w:hAnsi="Arial"/>
        <w:b/>
        <w:bCs/>
        <w:i/>
        <w:iCs/>
        <w:smallCaps/>
        <w:noProof/>
        <w:lang w:bidi="ar-SA"/>
      </w:rPr>
      <w:t xml:space="preserve"> V</w:t>
    </w:r>
    <w:r>
      <w:rPr>
        <w:rFonts w:ascii="Arial" w:hAnsi="Arial"/>
        <w:b/>
        <w:bCs/>
        <w:i/>
        <w:iCs/>
        <w:smallCaps/>
        <w:noProof/>
        <w:lang w:bidi="ar-SA"/>
      </w:rPr>
      <w:t xml:space="preserve"> -</w:t>
    </w:r>
    <w:r w:rsidRPr="0081292E">
      <w:rPr>
        <w:rFonts w:ascii="Arial" w:hAnsi="Arial"/>
        <w:b/>
        <w:bCs/>
        <w:i/>
        <w:iCs/>
        <w:smallCaps/>
        <w:noProof/>
        <w:lang w:bidi="ar-SA"/>
      </w:rPr>
      <w:t xml:space="preserve"> Thameur HADIJI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E12"/>
    <w:multiLevelType w:val="hybridMultilevel"/>
    <w:tmpl w:val="F74000C0"/>
    <w:lvl w:ilvl="0" w:tplc="04C66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F24A1A"/>
    <w:multiLevelType w:val="hybridMultilevel"/>
    <w:tmpl w:val="4C1E959A"/>
    <w:lvl w:ilvl="0" w:tplc="096CEC98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6081F"/>
    <w:multiLevelType w:val="hybridMultilevel"/>
    <w:tmpl w:val="EBDE40D8"/>
    <w:lvl w:ilvl="0" w:tplc="08BEDB1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5865"/>
    <w:multiLevelType w:val="hybridMultilevel"/>
    <w:tmpl w:val="29A107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170580A"/>
    <w:multiLevelType w:val="hybridMultilevel"/>
    <w:tmpl w:val="3360411C"/>
    <w:lvl w:ilvl="0" w:tplc="B0E024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021"/>
    <w:multiLevelType w:val="hybridMultilevel"/>
    <w:tmpl w:val="A2D8BA2E"/>
    <w:lvl w:ilvl="0" w:tplc="886C2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238CF"/>
    <w:multiLevelType w:val="multilevel"/>
    <w:tmpl w:val="442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277B4"/>
    <w:multiLevelType w:val="hybridMultilevel"/>
    <w:tmpl w:val="577A6F1C"/>
    <w:lvl w:ilvl="0" w:tplc="D3A63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982851"/>
    <w:multiLevelType w:val="hybridMultilevel"/>
    <w:tmpl w:val="C37CE7F6"/>
    <w:lvl w:ilvl="0" w:tplc="096CEC98">
      <w:start w:val="2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1419A"/>
    <w:multiLevelType w:val="hybridMultilevel"/>
    <w:tmpl w:val="EBDE40D8"/>
    <w:lvl w:ilvl="0" w:tplc="08BEDB1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64000"/>
    <w:rsid w:val="000013D8"/>
    <w:rsid w:val="00003018"/>
    <w:rsid w:val="000112C3"/>
    <w:rsid w:val="0001328E"/>
    <w:rsid w:val="0002607B"/>
    <w:rsid w:val="00026F5A"/>
    <w:rsid w:val="00031AD4"/>
    <w:rsid w:val="00032BC2"/>
    <w:rsid w:val="00035326"/>
    <w:rsid w:val="00042328"/>
    <w:rsid w:val="00054A1A"/>
    <w:rsid w:val="0006181A"/>
    <w:rsid w:val="00063509"/>
    <w:rsid w:val="00065A61"/>
    <w:rsid w:val="00071B77"/>
    <w:rsid w:val="00077CE0"/>
    <w:rsid w:val="000822A3"/>
    <w:rsid w:val="000872E6"/>
    <w:rsid w:val="00091D4A"/>
    <w:rsid w:val="00093FF1"/>
    <w:rsid w:val="000A7C12"/>
    <w:rsid w:val="000C6E12"/>
    <w:rsid w:val="000D3896"/>
    <w:rsid w:val="000D6E97"/>
    <w:rsid w:val="000F3042"/>
    <w:rsid w:val="000F554C"/>
    <w:rsid w:val="000F7BD1"/>
    <w:rsid w:val="0011039D"/>
    <w:rsid w:val="0011162C"/>
    <w:rsid w:val="00112D7F"/>
    <w:rsid w:val="001265A6"/>
    <w:rsid w:val="001377A4"/>
    <w:rsid w:val="00141158"/>
    <w:rsid w:val="0014373F"/>
    <w:rsid w:val="00151D09"/>
    <w:rsid w:val="001642E7"/>
    <w:rsid w:val="00166503"/>
    <w:rsid w:val="00186B3C"/>
    <w:rsid w:val="001904AB"/>
    <w:rsid w:val="00192C70"/>
    <w:rsid w:val="00194346"/>
    <w:rsid w:val="001949BF"/>
    <w:rsid w:val="001A01DF"/>
    <w:rsid w:val="001B2E83"/>
    <w:rsid w:val="001B68DF"/>
    <w:rsid w:val="001C4F91"/>
    <w:rsid w:val="001D0EBF"/>
    <w:rsid w:val="001E1E87"/>
    <w:rsid w:val="001E5BE0"/>
    <w:rsid w:val="001F166C"/>
    <w:rsid w:val="001F195E"/>
    <w:rsid w:val="00202957"/>
    <w:rsid w:val="002058A1"/>
    <w:rsid w:val="002119C2"/>
    <w:rsid w:val="00212928"/>
    <w:rsid w:val="002204F2"/>
    <w:rsid w:val="002246BF"/>
    <w:rsid w:val="00241131"/>
    <w:rsid w:val="002434E8"/>
    <w:rsid w:val="002453EB"/>
    <w:rsid w:val="002503E6"/>
    <w:rsid w:val="00250E9D"/>
    <w:rsid w:val="002514C7"/>
    <w:rsid w:val="00252C4C"/>
    <w:rsid w:val="00265621"/>
    <w:rsid w:val="00266B62"/>
    <w:rsid w:val="00271344"/>
    <w:rsid w:val="00285724"/>
    <w:rsid w:val="00286ED7"/>
    <w:rsid w:val="002908F3"/>
    <w:rsid w:val="002912E5"/>
    <w:rsid w:val="002914BD"/>
    <w:rsid w:val="00293BD4"/>
    <w:rsid w:val="002A25F0"/>
    <w:rsid w:val="002A38E5"/>
    <w:rsid w:val="002A4858"/>
    <w:rsid w:val="002B131C"/>
    <w:rsid w:val="002B2DAA"/>
    <w:rsid w:val="002C3887"/>
    <w:rsid w:val="002C5344"/>
    <w:rsid w:val="002D1439"/>
    <w:rsid w:val="002D65E2"/>
    <w:rsid w:val="002D78E8"/>
    <w:rsid w:val="002E1C71"/>
    <w:rsid w:val="002E4F79"/>
    <w:rsid w:val="002F177E"/>
    <w:rsid w:val="002F2707"/>
    <w:rsid w:val="0031562C"/>
    <w:rsid w:val="00324288"/>
    <w:rsid w:val="00327D95"/>
    <w:rsid w:val="00330220"/>
    <w:rsid w:val="003426B1"/>
    <w:rsid w:val="00343C96"/>
    <w:rsid w:val="00344878"/>
    <w:rsid w:val="00365938"/>
    <w:rsid w:val="003758A8"/>
    <w:rsid w:val="003809F6"/>
    <w:rsid w:val="003844FF"/>
    <w:rsid w:val="00384952"/>
    <w:rsid w:val="00386A4B"/>
    <w:rsid w:val="003A07AE"/>
    <w:rsid w:val="003A0DDC"/>
    <w:rsid w:val="003A443C"/>
    <w:rsid w:val="003A5489"/>
    <w:rsid w:val="003A5746"/>
    <w:rsid w:val="003A6219"/>
    <w:rsid w:val="003A7EFC"/>
    <w:rsid w:val="003B0C39"/>
    <w:rsid w:val="003B0DC4"/>
    <w:rsid w:val="003B23EF"/>
    <w:rsid w:val="003B5B09"/>
    <w:rsid w:val="003C0910"/>
    <w:rsid w:val="003C23D5"/>
    <w:rsid w:val="003D6A9F"/>
    <w:rsid w:val="003E2BA4"/>
    <w:rsid w:val="003E441A"/>
    <w:rsid w:val="0040524E"/>
    <w:rsid w:val="00411E76"/>
    <w:rsid w:val="00417F8D"/>
    <w:rsid w:val="0043293E"/>
    <w:rsid w:val="004348DF"/>
    <w:rsid w:val="00440FE6"/>
    <w:rsid w:val="00446F55"/>
    <w:rsid w:val="00452FE0"/>
    <w:rsid w:val="00465341"/>
    <w:rsid w:val="00477D43"/>
    <w:rsid w:val="004862C7"/>
    <w:rsid w:val="004873C0"/>
    <w:rsid w:val="00494996"/>
    <w:rsid w:val="00496FB9"/>
    <w:rsid w:val="004A3248"/>
    <w:rsid w:val="004A7807"/>
    <w:rsid w:val="004C1B78"/>
    <w:rsid w:val="004C76B9"/>
    <w:rsid w:val="004C773A"/>
    <w:rsid w:val="004D0F75"/>
    <w:rsid w:val="004D2789"/>
    <w:rsid w:val="004D6BCC"/>
    <w:rsid w:val="004E0C6A"/>
    <w:rsid w:val="004E360C"/>
    <w:rsid w:val="004F2DA2"/>
    <w:rsid w:val="004F3DA8"/>
    <w:rsid w:val="005035FC"/>
    <w:rsid w:val="00511582"/>
    <w:rsid w:val="00524ABB"/>
    <w:rsid w:val="00530CB1"/>
    <w:rsid w:val="00532012"/>
    <w:rsid w:val="005344CC"/>
    <w:rsid w:val="0053470A"/>
    <w:rsid w:val="00535FD2"/>
    <w:rsid w:val="00541A39"/>
    <w:rsid w:val="00554B74"/>
    <w:rsid w:val="00557E34"/>
    <w:rsid w:val="00564B34"/>
    <w:rsid w:val="005706A4"/>
    <w:rsid w:val="00571514"/>
    <w:rsid w:val="0057628E"/>
    <w:rsid w:val="00576A80"/>
    <w:rsid w:val="0059077F"/>
    <w:rsid w:val="00591631"/>
    <w:rsid w:val="00592D42"/>
    <w:rsid w:val="0059311F"/>
    <w:rsid w:val="00595488"/>
    <w:rsid w:val="0059595C"/>
    <w:rsid w:val="0059687F"/>
    <w:rsid w:val="005A0322"/>
    <w:rsid w:val="005A0792"/>
    <w:rsid w:val="005A3997"/>
    <w:rsid w:val="005C4F51"/>
    <w:rsid w:val="005C51C1"/>
    <w:rsid w:val="005C7EC6"/>
    <w:rsid w:val="005E0ED1"/>
    <w:rsid w:val="005E2185"/>
    <w:rsid w:val="005F2418"/>
    <w:rsid w:val="005F4A17"/>
    <w:rsid w:val="005F5C48"/>
    <w:rsid w:val="00606FE2"/>
    <w:rsid w:val="00610799"/>
    <w:rsid w:val="00615A5F"/>
    <w:rsid w:val="00616F38"/>
    <w:rsid w:val="00633B1E"/>
    <w:rsid w:val="00642001"/>
    <w:rsid w:val="00651866"/>
    <w:rsid w:val="00652E80"/>
    <w:rsid w:val="00656B54"/>
    <w:rsid w:val="006876C5"/>
    <w:rsid w:val="006908F7"/>
    <w:rsid w:val="006910A7"/>
    <w:rsid w:val="00691E68"/>
    <w:rsid w:val="0069563F"/>
    <w:rsid w:val="006B00D0"/>
    <w:rsid w:val="006C36DC"/>
    <w:rsid w:val="006C39A0"/>
    <w:rsid w:val="006C5DB8"/>
    <w:rsid w:val="006D09C8"/>
    <w:rsid w:val="006D4D4C"/>
    <w:rsid w:val="006D6019"/>
    <w:rsid w:val="006E5C94"/>
    <w:rsid w:val="006E738F"/>
    <w:rsid w:val="006F21CF"/>
    <w:rsid w:val="006F331D"/>
    <w:rsid w:val="006F7EF2"/>
    <w:rsid w:val="007244CF"/>
    <w:rsid w:val="00727E40"/>
    <w:rsid w:val="00746077"/>
    <w:rsid w:val="0074698B"/>
    <w:rsid w:val="00747F1C"/>
    <w:rsid w:val="007528C4"/>
    <w:rsid w:val="00756E34"/>
    <w:rsid w:val="00773B27"/>
    <w:rsid w:val="0078028A"/>
    <w:rsid w:val="007904C2"/>
    <w:rsid w:val="00790E3C"/>
    <w:rsid w:val="00795721"/>
    <w:rsid w:val="007A739E"/>
    <w:rsid w:val="007B09E7"/>
    <w:rsid w:val="007B0C8F"/>
    <w:rsid w:val="007B3874"/>
    <w:rsid w:val="007B47D5"/>
    <w:rsid w:val="007C09D2"/>
    <w:rsid w:val="007C32EF"/>
    <w:rsid w:val="007C43BF"/>
    <w:rsid w:val="007E4E85"/>
    <w:rsid w:val="007F1678"/>
    <w:rsid w:val="0081292E"/>
    <w:rsid w:val="00823804"/>
    <w:rsid w:val="00823E22"/>
    <w:rsid w:val="00824A5F"/>
    <w:rsid w:val="008259F5"/>
    <w:rsid w:val="00832435"/>
    <w:rsid w:val="00834685"/>
    <w:rsid w:val="00836925"/>
    <w:rsid w:val="00842FEE"/>
    <w:rsid w:val="00843215"/>
    <w:rsid w:val="00845BD4"/>
    <w:rsid w:val="00851174"/>
    <w:rsid w:val="00854510"/>
    <w:rsid w:val="00856564"/>
    <w:rsid w:val="00856830"/>
    <w:rsid w:val="00856EA9"/>
    <w:rsid w:val="00865199"/>
    <w:rsid w:val="00876A21"/>
    <w:rsid w:val="0088534D"/>
    <w:rsid w:val="00894208"/>
    <w:rsid w:val="0089711C"/>
    <w:rsid w:val="008A5851"/>
    <w:rsid w:val="008B2CFD"/>
    <w:rsid w:val="008B7964"/>
    <w:rsid w:val="008C59EC"/>
    <w:rsid w:val="008D19D5"/>
    <w:rsid w:val="008D4B8D"/>
    <w:rsid w:val="008D4CC0"/>
    <w:rsid w:val="008D5F70"/>
    <w:rsid w:val="008E2D70"/>
    <w:rsid w:val="008E36C9"/>
    <w:rsid w:val="008F4B8E"/>
    <w:rsid w:val="008F5018"/>
    <w:rsid w:val="008F6E11"/>
    <w:rsid w:val="0092466A"/>
    <w:rsid w:val="00934359"/>
    <w:rsid w:val="00936BAB"/>
    <w:rsid w:val="009476D9"/>
    <w:rsid w:val="00952AD6"/>
    <w:rsid w:val="00957FEB"/>
    <w:rsid w:val="0096073A"/>
    <w:rsid w:val="00960DCF"/>
    <w:rsid w:val="009662BD"/>
    <w:rsid w:val="00976600"/>
    <w:rsid w:val="00982196"/>
    <w:rsid w:val="00984902"/>
    <w:rsid w:val="009900F5"/>
    <w:rsid w:val="009926A2"/>
    <w:rsid w:val="009B47BA"/>
    <w:rsid w:val="009B5148"/>
    <w:rsid w:val="009D5E28"/>
    <w:rsid w:val="009E1186"/>
    <w:rsid w:val="009E5DD6"/>
    <w:rsid w:val="009F08DA"/>
    <w:rsid w:val="009F344D"/>
    <w:rsid w:val="009F5F96"/>
    <w:rsid w:val="00A01FBB"/>
    <w:rsid w:val="00A02B1B"/>
    <w:rsid w:val="00A04199"/>
    <w:rsid w:val="00A04B86"/>
    <w:rsid w:val="00A0572B"/>
    <w:rsid w:val="00A0575F"/>
    <w:rsid w:val="00A100AE"/>
    <w:rsid w:val="00A27455"/>
    <w:rsid w:val="00A3598B"/>
    <w:rsid w:val="00A425A6"/>
    <w:rsid w:val="00A44B74"/>
    <w:rsid w:val="00A53D39"/>
    <w:rsid w:val="00A86555"/>
    <w:rsid w:val="00A94A03"/>
    <w:rsid w:val="00AA0E34"/>
    <w:rsid w:val="00AA13BC"/>
    <w:rsid w:val="00AA678D"/>
    <w:rsid w:val="00AB21C7"/>
    <w:rsid w:val="00AB45D3"/>
    <w:rsid w:val="00AB58B5"/>
    <w:rsid w:val="00AB6A00"/>
    <w:rsid w:val="00AC4FA3"/>
    <w:rsid w:val="00AD10FE"/>
    <w:rsid w:val="00AD295D"/>
    <w:rsid w:val="00AD4BBB"/>
    <w:rsid w:val="00AD5C05"/>
    <w:rsid w:val="00AE1665"/>
    <w:rsid w:val="00AE33E0"/>
    <w:rsid w:val="00AF030F"/>
    <w:rsid w:val="00AF38EB"/>
    <w:rsid w:val="00AF49DE"/>
    <w:rsid w:val="00AF730A"/>
    <w:rsid w:val="00AF761F"/>
    <w:rsid w:val="00B01D62"/>
    <w:rsid w:val="00B055D3"/>
    <w:rsid w:val="00B24A4A"/>
    <w:rsid w:val="00B25CBB"/>
    <w:rsid w:val="00B37099"/>
    <w:rsid w:val="00B46C77"/>
    <w:rsid w:val="00B549B3"/>
    <w:rsid w:val="00B64F0B"/>
    <w:rsid w:val="00B76368"/>
    <w:rsid w:val="00B87EBF"/>
    <w:rsid w:val="00B93B6A"/>
    <w:rsid w:val="00B93B7F"/>
    <w:rsid w:val="00BA2C93"/>
    <w:rsid w:val="00BA2D76"/>
    <w:rsid w:val="00BA36DF"/>
    <w:rsid w:val="00BA7E05"/>
    <w:rsid w:val="00BB5D4B"/>
    <w:rsid w:val="00BB6E6A"/>
    <w:rsid w:val="00BC1E8A"/>
    <w:rsid w:val="00BC77FD"/>
    <w:rsid w:val="00BD7E3A"/>
    <w:rsid w:val="00BE7595"/>
    <w:rsid w:val="00BF3222"/>
    <w:rsid w:val="00C001AB"/>
    <w:rsid w:val="00C06CAE"/>
    <w:rsid w:val="00C110BD"/>
    <w:rsid w:val="00C14698"/>
    <w:rsid w:val="00C1499D"/>
    <w:rsid w:val="00C16AB0"/>
    <w:rsid w:val="00C2489B"/>
    <w:rsid w:val="00C5030C"/>
    <w:rsid w:val="00C50D96"/>
    <w:rsid w:val="00C546E9"/>
    <w:rsid w:val="00C64B2A"/>
    <w:rsid w:val="00C64FFF"/>
    <w:rsid w:val="00C71F7A"/>
    <w:rsid w:val="00C8503D"/>
    <w:rsid w:val="00C854C8"/>
    <w:rsid w:val="00C874F5"/>
    <w:rsid w:val="00CA4D06"/>
    <w:rsid w:val="00CA7906"/>
    <w:rsid w:val="00CB11AE"/>
    <w:rsid w:val="00CB442B"/>
    <w:rsid w:val="00CC3B34"/>
    <w:rsid w:val="00CC4211"/>
    <w:rsid w:val="00CE315E"/>
    <w:rsid w:val="00CE39BF"/>
    <w:rsid w:val="00CE67AB"/>
    <w:rsid w:val="00D00D3B"/>
    <w:rsid w:val="00D03039"/>
    <w:rsid w:val="00D06666"/>
    <w:rsid w:val="00D15C2E"/>
    <w:rsid w:val="00D160E2"/>
    <w:rsid w:val="00D25995"/>
    <w:rsid w:val="00D27A9F"/>
    <w:rsid w:val="00D3258B"/>
    <w:rsid w:val="00D4512C"/>
    <w:rsid w:val="00D511A1"/>
    <w:rsid w:val="00D532C8"/>
    <w:rsid w:val="00D57C48"/>
    <w:rsid w:val="00D707C1"/>
    <w:rsid w:val="00D83BCF"/>
    <w:rsid w:val="00D84684"/>
    <w:rsid w:val="00D872A7"/>
    <w:rsid w:val="00D9140D"/>
    <w:rsid w:val="00D93E28"/>
    <w:rsid w:val="00D948C9"/>
    <w:rsid w:val="00D95995"/>
    <w:rsid w:val="00DB20CC"/>
    <w:rsid w:val="00DB4316"/>
    <w:rsid w:val="00DC4D46"/>
    <w:rsid w:val="00DC620E"/>
    <w:rsid w:val="00DD14D8"/>
    <w:rsid w:val="00DD27AD"/>
    <w:rsid w:val="00DF2252"/>
    <w:rsid w:val="00DF5A42"/>
    <w:rsid w:val="00E0329B"/>
    <w:rsid w:val="00E13FEC"/>
    <w:rsid w:val="00E148FC"/>
    <w:rsid w:val="00E17A82"/>
    <w:rsid w:val="00E20D6E"/>
    <w:rsid w:val="00E23F6D"/>
    <w:rsid w:val="00E26273"/>
    <w:rsid w:val="00E26B14"/>
    <w:rsid w:val="00E319C6"/>
    <w:rsid w:val="00E35172"/>
    <w:rsid w:val="00E426FE"/>
    <w:rsid w:val="00E51180"/>
    <w:rsid w:val="00E528F5"/>
    <w:rsid w:val="00E53EB3"/>
    <w:rsid w:val="00E56E8A"/>
    <w:rsid w:val="00E63296"/>
    <w:rsid w:val="00E72F36"/>
    <w:rsid w:val="00E8140A"/>
    <w:rsid w:val="00E94826"/>
    <w:rsid w:val="00E960CB"/>
    <w:rsid w:val="00EA38EC"/>
    <w:rsid w:val="00EB1749"/>
    <w:rsid w:val="00EB20D9"/>
    <w:rsid w:val="00EB54A6"/>
    <w:rsid w:val="00EC3D2D"/>
    <w:rsid w:val="00EC75F6"/>
    <w:rsid w:val="00ED2F3C"/>
    <w:rsid w:val="00ED36E3"/>
    <w:rsid w:val="00EE2A59"/>
    <w:rsid w:val="00EF12CB"/>
    <w:rsid w:val="00F22FF2"/>
    <w:rsid w:val="00F27543"/>
    <w:rsid w:val="00F33577"/>
    <w:rsid w:val="00F37AB7"/>
    <w:rsid w:val="00F43B03"/>
    <w:rsid w:val="00F5092D"/>
    <w:rsid w:val="00F567C4"/>
    <w:rsid w:val="00F623B8"/>
    <w:rsid w:val="00F64000"/>
    <w:rsid w:val="00F666D4"/>
    <w:rsid w:val="00F76875"/>
    <w:rsid w:val="00F77870"/>
    <w:rsid w:val="00F90AA7"/>
    <w:rsid w:val="00FB3DA5"/>
    <w:rsid w:val="00FC2A26"/>
    <w:rsid w:val="00FC3062"/>
    <w:rsid w:val="00FC42D7"/>
    <w:rsid w:val="00FC565D"/>
    <w:rsid w:val="00FC73D0"/>
    <w:rsid w:val="00FE61A8"/>
    <w:rsid w:val="00F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66"/>
    <w:pPr>
      <w:spacing w:after="200" w:line="276" w:lineRule="auto"/>
    </w:pPr>
    <w:rPr>
      <w:sz w:val="22"/>
      <w:szCs w:val="22"/>
      <w:lang w:val="en-US" w:eastAsia="en-US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400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64000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F6400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F64000"/>
    <w:rPr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64000"/>
    <w:rPr>
      <w:rFonts w:ascii="Tahoma" w:hAnsi="Tahoma" w:cs="Tahoma"/>
      <w:sz w:val="16"/>
      <w:szCs w:val="16"/>
      <w:lang w:bidi="ar-TN"/>
    </w:rPr>
  </w:style>
  <w:style w:type="table" w:styleId="Grilledutableau">
    <w:name w:val="Table Grid"/>
    <w:basedOn w:val="TableauNormal"/>
    <w:uiPriority w:val="59"/>
    <w:rsid w:val="00F640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1B2E83"/>
    <w:rPr>
      <w:color w:val="0000FF"/>
      <w:u w:val="single"/>
    </w:rPr>
  </w:style>
  <w:style w:type="character" w:customStyle="1" w:styleId="longtext">
    <w:name w:val="long_text"/>
    <w:basedOn w:val="Policepardfaut"/>
    <w:rsid w:val="00C71F7A"/>
  </w:style>
  <w:style w:type="paragraph" w:customStyle="1" w:styleId="ListParagraph1">
    <w:name w:val="List Paragraph1"/>
    <w:basedOn w:val="Normal"/>
    <w:uiPriority w:val="34"/>
    <w:qFormat/>
    <w:rsid w:val="00FC2A26"/>
    <w:pPr>
      <w:ind w:left="720"/>
      <w:contextualSpacing/>
    </w:pPr>
  </w:style>
  <w:style w:type="paragraph" w:customStyle="1" w:styleId="Default">
    <w:name w:val="Default"/>
    <w:rsid w:val="00FC2A26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shorttext">
    <w:name w:val="short_text"/>
    <w:basedOn w:val="Policepardfaut"/>
    <w:rsid w:val="00557E34"/>
  </w:style>
  <w:style w:type="character" w:customStyle="1" w:styleId="hps">
    <w:name w:val="hps"/>
    <w:basedOn w:val="Policepardfaut"/>
    <w:rsid w:val="00557E34"/>
  </w:style>
  <w:style w:type="character" w:customStyle="1" w:styleId="apple-converted-space">
    <w:name w:val="apple-converted-space"/>
    <w:basedOn w:val="Policepardfaut"/>
    <w:rsid w:val="00112D7F"/>
  </w:style>
  <w:style w:type="character" w:styleId="Accentuation">
    <w:name w:val="Emphasis"/>
    <w:basedOn w:val="Policepardfaut"/>
    <w:uiPriority w:val="20"/>
    <w:qFormat/>
    <w:rsid w:val="00112D7F"/>
    <w:rPr>
      <w:i/>
      <w:iCs/>
    </w:rPr>
  </w:style>
  <w:style w:type="paragraph" w:styleId="Paragraphedeliste">
    <w:name w:val="List Paragraph"/>
    <w:basedOn w:val="Normal"/>
    <w:uiPriority w:val="34"/>
    <w:qFormat/>
    <w:rsid w:val="00224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058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0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336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7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9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5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061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201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93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2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6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4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584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9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9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3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0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ameur.hadij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34E5-8A05-46FD-A85E-7B2C4EFD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1429</Words>
  <Characters>7864</Characters>
  <Application>Microsoft Office Word</Application>
  <DocSecurity>0</DocSecurity>
  <Lines>65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Oilwell Varco</Company>
  <LinksUpToDate>false</LinksUpToDate>
  <CharactersWithSpaces>9275</CharactersWithSpaces>
  <SharedDoc>false</SharedDoc>
  <HLinks>
    <vt:vector size="6" baseType="variant">
      <vt:variant>
        <vt:i4>196732</vt:i4>
      </vt:variant>
      <vt:variant>
        <vt:i4>0</vt:i4>
      </vt:variant>
      <vt:variant>
        <vt:i4>0</vt:i4>
      </vt:variant>
      <vt:variant>
        <vt:i4>5</vt:i4>
      </vt:variant>
      <vt:variant>
        <vt:lpwstr>mailto:thameur.hadiji@gmail.com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HadijiT</dc:creator>
  <cp:lastModifiedBy>Thameur HADIJI</cp:lastModifiedBy>
  <cp:revision>4</cp:revision>
  <cp:lastPrinted>2018-02-14T08:51:00Z</cp:lastPrinted>
  <dcterms:created xsi:type="dcterms:W3CDTF">2018-09-24T21:01:00Z</dcterms:created>
  <dcterms:modified xsi:type="dcterms:W3CDTF">2019-02-11T08:42:00Z</dcterms:modified>
</cp:coreProperties>
</file>